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3B" w:rsidRPr="000F0BC3" w:rsidRDefault="00BD3E3B" w:rsidP="00BD3E3B">
      <w:pPr>
        <w:jc w:val="center"/>
        <w:rPr>
          <w:rFonts w:ascii="標楷體" w:eastAsia="標楷體" w:hAnsi="標楷體"/>
          <w:sz w:val="32"/>
          <w:szCs w:val="32"/>
        </w:rPr>
      </w:pPr>
      <w:r w:rsidRPr="000F0BC3">
        <w:rPr>
          <w:rFonts w:ascii="標楷體" w:eastAsia="標楷體" w:hAnsi="標楷體" w:hint="eastAsia"/>
          <w:sz w:val="32"/>
          <w:szCs w:val="32"/>
        </w:rPr>
        <w:t>彰化縣立和美高中（</w:t>
      </w:r>
      <w:r w:rsidR="008928B4">
        <w:rPr>
          <w:rFonts w:ascii="標楷體" w:eastAsia="標楷體" w:hAnsi="標楷體" w:hint="eastAsia"/>
          <w:sz w:val="32"/>
          <w:szCs w:val="32"/>
        </w:rPr>
        <w:t>高</w:t>
      </w:r>
      <w:r w:rsidRPr="000F0BC3">
        <w:rPr>
          <w:rFonts w:ascii="標楷體" w:eastAsia="標楷體" w:hAnsi="標楷體" w:hint="eastAsia"/>
          <w:sz w:val="32"/>
          <w:szCs w:val="32"/>
        </w:rPr>
        <w:t>中部)</w:t>
      </w:r>
    </w:p>
    <w:p w:rsidR="00BD3E3B" w:rsidRPr="000F0BC3" w:rsidRDefault="00BD3E3B" w:rsidP="00BD3E3B">
      <w:pPr>
        <w:jc w:val="center"/>
        <w:rPr>
          <w:rFonts w:ascii="標楷體" w:eastAsia="標楷體" w:hAnsi="標楷體"/>
          <w:sz w:val="32"/>
          <w:szCs w:val="32"/>
        </w:rPr>
      </w:pPr>
      <w:r w:rsidRPr="000F0BC3">
        <w:rPr>
          <w:rFonts w:ascii="標楷體" w:eastAsia="標楷體" w:hAnsi="標楷體" w:hint="eastAsia"/>
          <w:sz w:val="32"/>
          <w:szCs w:val="32"/>
        </w:rPr>
        <w:t>10</w:t>
      </w:r>
      <w:r w:rsidR="008928B4">
        <w:rPr>
          <w:rFonts w:ascii="標楷體" w:eastAsia="標楷體" w:hAnsi="標楷體" w:hint="eastAsia"/>
          <w:sz w:val="32"/>
          <w:szCs w:val="32"/>
        </w:rPr>
        <w:t>6</w:t>
      </w:r>
      <w:r w:rsidRPr="000F0BC3">
        <w:rPr>
          <w:rFonts w:ascii="標楷體" w:eastAsia="標楷體" w:hAnsi="標楷體" w:hint="eastAsia"/>
          <w:sz w:val="32"/>
          <w:szCs w:val="32"/>
        </w:rPr>
        <w:t>學年度適性輔導</w:t>
      </w:r>
      <w:r w:rsidR="008928B4">
        <w:rPr>
          <w:rFonts w:ascii="標楷體" w:eastAsia="標楷體" w:hAnsi="標楷體" w:hint="eastAsia"/>
          <w:sz w:val="32"/>
          <w:szCs w:val="32"/>
        </w:rPr>
        <w:t xml:space="preserve"> </w:t>
      </w:r>
      <w:r w:rsidRPr="000F0BC3">
        <w:rPr>
          <w:rFonts w:ascii="標楷體" w:eastAsia="標楷體" w:hAnsi="標楷體" w:hint="eastAsia"/>
          <w:sz w:val="32"/>
          <w:szCs w:val="32"/>
        </w:rPr>
        <w:t>志願選填輔導實施計畫</w:t>
      </w:r>
    </w:p>
    <w:p w:rsidR="00BD3E3B" w:rsidRPr="00EF552B" w:rsidRDefault="00BD3E3B" w:rsidP="000F0BC3">
      <w:pPr>
        <w:spacing w:line="400" w:lineRule="exact"/>
        <w:rPr>
          <w:rFonts w:ascii="標楷體" w:eastAsia="標楷體" w:hAnsi="標楷體"/>
          <w:szCs w:val="24"/>
        </w:rPr>
      </w:pPr>
      <w:r w:rsidRPr="00EF552B">
        <w:rPr>
          <w:rFonts w:ascii="標楷體" w:eastAsia="標楷體" w:hAnsi="標楷體" w:hint="eastAsia"/>
          <w:szCs w:val="24"/>
        </w:rPr>
        <w:t>一、依據</w:t>
      </w:r>
    </w:p>
    <w:p w:rsidR="00BD3E3B" w:rsidRPr="00EF552B" w:rsidRDefault="00BD3E3B" w:rsidP="000F0BC3">
      <w:pPr>
        <w:spacing w:line="400" w:lineRule="exact"/>
        <w:rPr>
          <w:rFonts w:ascii="標楷體" w:eastAsia="標楷體" w:hAnsi="標楷體"/>
          <w:szCs w:val="24"/>
        </w:rPr>
      </w:pPr>
      <w:r w:rsidRPr="00EF552B">
        <w:rPr>
          <w:rFonts w:ascii="標楷體" w:eastAsia="標楷體" w:hAnsi="標楷體" w:hint="eastAsia"/>
          <w:szCs w:val="24"/>
        </w:rPr>
        <w:t>（一）十二年國民基本教育實施計畫</w:t>
      </w:r>
    </w:p>
    <w:p w:rsidR="00BD3E3B" w:rsidRDefault="00BD3E3B" w:rsidP="000F0BC3">
      <w:pPr>
        <w:spacing w:line="400" w:lineRule="exact"/>
        <w:rPr>
          <w:rFonts w:ascii="標楷體" w:eastAsia="標楷體" w:hAnsi="標楷體"/>
          <w:szCs w:val="24"/>
        </w:rPr>
      </w:pPr>
      <w:r w:rsidRPr="00EF552B">
        <w:rPr>
          <w:rFonts w:ascii="標楷體" w:eastAsia="標楷體" w:hAnsi="標楷體" w:hint="eastAsia"/>
          <w:szCs w:val="24"/>
        </w:rPr>
        <w:t>（二）</w:t>
      </w:r>
      <w:r w:rsidR="0088754B" w:rsidRPr="00EF552B">
        <w:rPr>
          <w:rFonts w:ascii="標楷體" w:eastAsia="標楷體" w:hAnsi="標楷體" w:hint="eastAsia"/>
          <w:szCs w:val="24"/>
        </w:rPr>
        <w:t>本校10</w:t>
      </w:r>
      <w:r w:rsidR="0088754B">
        <w:rPr>
          <w:rFonts w:ascii="標楷體" w:eastAsia="標楷體" w:hAnsi="標楷體" w:hint="eastAsia"/>
          <w:szCs w:val="24"/>
        </w:rPr>
        <w:t>6</w:t>
      </w:r>
      <w:r w:rsidR="0088754B" w:rsidRPr="00EF552B">
        <w:rPr>
          <w:rFonts w:ascii="標楷體" w:eastAsia="標楷體" w:hAnsi="標楷體" w:hint="eastAsia"/>
          <w:szCs w:val="24"/>
        </w:rPr>
        <w:t>學年度</w:t>
      </w:r>
      <w:r w:rsidR="0088754B">
        <w:rPr>
          <w:rFonts w:ascii="標楷體" w:eastAsia="標楷體" w:hAnsi="標楷體" w:hint="eastAsia"/>
          <w:szCs w:val="24"/>
        </w:rPr>
        <w:t>輔導工作</w:t>
      </w:r>
      <w:r w:rsidR="0088754B" w:rsidRPr="00EF552B">
        <w:rPr>
          <w:rFonts w:ascii="標楷體" w:eastAsia="標楷體" w:hAnsi="標楷體" w:hint="eastAsia"/>
          <w:szCs w:val="24"/>
        </w:rPr>
        <w:t>計畫</w:t>
      </w:r>
    </w:p>
    <w:p w:rsidR="0088754B" w:rsidRPr="00EF552B" w:rsidRDefault="0088754B" w:rsidP="000F0BC3">
      <w:pPr>
        <w:spacing w:line="400" w:lineRule="exact"/>
        <w:rPr>
          <w:rFonts w:ascii="標楷體" w:eastAsia="標楷體" w:hAnsi="標楷體"/>
          <w:szCs w:val="24"/>
        </w:rPr>
      </w:pPr>
      <w:r w:rsidRPr="00EF552B"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三</w:t>
      </w:r>
      <w:r w:rsidRPr="00EF552B">
        <w:rPr>
          <w:rFonts w:ascii="標楷體" w:eastAsia="標楷體" w:hAnsi="標楷體" w:hint="eastAsia"/>
          <w:szCs w:val="24"/>
        </w:rPr>
        <w:t>）</w:t>
      </w:r>
      <w:r>
        <w:rPr>
          <w:rFonts w:ascii="標楷體" w:eastAsia="標楷體" w:hAnsi="標楷體" w:hint="eastAsia"/>
          <w:szCs w:val="24"/>
        </w:rPr>
        <w:t>本校106學年度高中專任</w:t>
      </w:r>
      <w:r w:rsidR="00A7797F">
        <w:rPr>
          <w:rFonts w:ascii="標楷體" w:eastAsia="標楷體" w:hAnsi="標楷體" w:hint="eastAsia"/>
          <w:szCs w:val="24"/>
        </w:rPr>
        <w:t>輔導教師</w:t>
      </w:r>
      <w:r>
        <w:rPr>
          <w:rFonts w:ascii="標楷體" w:eastAsia="標楷體" w:hAnsi="標楷體" w:hint="eastAsia"/>
          <w:szCs w:val="24"/>
        </w:rPr>
        <w:t>工作計畫</w:t>
      </w:r>
    </w:p>
    <w:p w:rsidR="000F0BC3" w:rsidRPr="00EF552B" w:rsidRDefault="003C5DE1" w:rsidP="003C5DE1">
      <w:pPr>
        <w:tabs>
          <w:tab w:val="left" w:pos="2490"/>
        </w:tabs>
        <w:spacing w:line="400" w:lineRule="exact"/>
        <w:rPr>
          <w:rFonts w:ascii="標楷體" w:eastAsia="標楷體" w:hAnsi="標楷體"/>
          <w:szCs w:val="24"/>
        </w:rPr>
      </w:pPr>
      <w:r w:rsidRPr="00EF552B">
        <w:rPr>
          <w:rFonts w:ascii="標楷體" w:eastAsia="標楷體" w:hAnsi="標楷體"/>
          <w:szCs w:val="24"/>
        </w:rPr>
        <w:tab/>
      </w:r>
    </w:p>
    <w:p w:rsidR="000F0BC3" w:rsidRPr="00EF552B" w:rsidRDefault="000F0BC3" w:rsidP="000F0BC3">
      <w:pPr>
        <w:spacing w:line="400" w:lineRule="exact"/>
        <w:rPr>
          <w:rFonts w:ascii="標楷體" w:eastAsia="標楷體" w:hAnsi="標楷體"/>
          <w:szCs w:val="24"/>
        </w:rPr>
      </w:pPr>
      <w:r w:rsidRPr="00EF552B">
        <w:rPr>
          <w:rFonts w:ascii="標楷體" w:eastAsia="標楷體" w:hAnsi="標楷體" w:hint="eastAsia"/>
          <w:szCs w:val="24"/>
        </w:rPr>
        <w:t>二</w:t>
      </w:r>
      <w:r w:rsidRPr="00EF552B">
        <w:rPr>
          <w:rFonts w:ascii="新細明體" w:eastAsia="新細明體" w:hAnsi="新細明體" w:hint="eastAsia"/>
          <w:szCs w:val="24"/>
        </w:rPr>
        <w:t>、</w:t>
      </w:r>
      <w:r w:rsidRPr="00EF552B">
        <w:rPr>
          <w:rFonts w:ascii="標楷體" w:eastAsia="標楷體" w:hAnsi="標楷體" w:hint="eastAsia"/>
          <w:szCs w:val="24"/>
        </w:rPr>
        <w:t>目的</w:t>
      </w:r>
    </w:p>
    <w:p w:rsidR="00EF552B" w:rsidRDefault="000F0BC3" w:rsidP="00EF552B">
      <w:pPr>
        <w:spacing w:line="400" w:lineRule="exact"/>
        <w:rPr>
          <w:rFonts w:ascii="標楷體" w:eastAsia="標楷體" w:hAnsi="標楷體"/>
          <w:szCs w:val="24"/>
        </w:rPr>
      </w:pPr>
      <w:r w:rsidRPr="00EF552B">
        <w:rPr>
          <w:rFonts w:ascii="標楷體" w:eastAsia="標楷體" w:hAnsi="標楷體" w:hint="eastAsia"/>
          <w:szCs w:val="24"/>
        </w:rPr>
        <w:t>（一</w:t>
      </w:r>
      <w:r w:rsidR="00C97B42" w:rsidRPr="00EF552B">
        <w:rPr>
          <w:rFonts w:ascii="標楷體" w:eastAsia="標楷體" w:hAnsi="標楷體" w:hint="eastAsia"/>
          <w:szCs w:val="24"/>
        </w:rPr>
        <w:t>)</w:t>
      </w:r>
      <w:r w:rsidRPr="00EF552B">
        <w:rPr>
          <w:rFonts w:ascii="標楷體" w:eastAsia="標楷體" w:hAnsi="標楷體" w:hint="eastAsia"/>
          <w:szCs w:val="24"/>
        </w:rPr>
        <w:t>加強推動</w:t>
      </w:r>
      <w:r w:rsidR="008928B4">
        <w:rPr>
          <w:rFonts w:ascii="標楷體" w:eastAsia="標楷體" w:hAnsi="標楷體" w:hint="eastAsia"/>
          <w:szCs w:val="24"/>
        </w:rPr>
        <w:t>高三</w:t>
      </w:r>
      <w:r w:rsidRPr="00EF552B">
        <w:rPr>
          <w:rFonts w:ascii="標楷體" w:eastAsia="標楷體" w:hAnsi="標楷體" w:hint="eastAsia"/>
          <w:szCs w:val="24"/>
        </w:rPr>
        <w:t>學生適性輔導工作，協助學生探索與認識自我，了解自身</w:t>
      </w:r>
    </w:p>
    <w:p w:rsidR="00522A7A" w:rsidRPr="00EF552B" w:rsidRDefault="000F0BC3" w:rsidP="00EF552B">
      <w:pPr>
        <w:spacing w:line="400" w:lineRule="exact"/>
        <w:ind w:firstLineChars="250" w:firstLine="600"/>
        <w:rPr>
          <w:rFonts w:ascii="標楷體" w:eastAsia="標楷體" w:hAnsi="標楷體"/>
          <w:szCs w:val="24"/>
        </w:rPr>
      </w:pPr>
      <w:r w:rsidRPr="00EF552B">
        <w:rPr>
          <w:rFonts w:ascii="標楷體" w:eastAsia="標楷體" w:hAnsi="標楷體" w:hint="eastAsia"/>
          <w:szCs w:val="24"/>
        </w:rPr>
        <w:t>能力、性向、興趣等個人特質，以培養生涯抉擇能力。</w:t>
      </w:r>
    </w:p>
    <w:p w:rsidR="000F0BC3" w:rsidRPr="00EF552B" w:rsidRDefault="000F0BC3" w:rsidP="00EF552B">
      <w:pPr>
        <w:spacing w:line="400" w:lineRule="exact"/>
        <w:ind w:left="600" w:hangingChars="250" w:hanging="600"/>
        <w:rPr>
          <w:rFonts w:ascii="標楷體" w:eastAsia="標楷體" w:hAnsi="標楷體"/>
          <w:szCs w:val="24"/>
        </w:rPr>
      </w:pPr>
      <w:r w:rsidRPr="00EF552B">
        <w:rPr>
          <w:rFonts w:ascii="標楷體" w:eastAsia="標楷體" w:hAnsi="標楷體" w:hint="eastAsia"/>
          <w:szCs w:val="24"/>
        </w:rPr>
        <w:t>（二）提供導師及</w:t>
      </w:r>
      <w:r w:rsidR="00A7797F">
        <w:rPr>
          <w:rFonts w:ascii="標楷體" w:eastAsia="標楷體" w:hAnsi="標楷體" w:hint="eastAsia"/>
          <w:szCs w:val="24"/>
        </w:rPr>
        <w:t>輔導教師</w:t>
      </w:r>
      <w:r w:rsidRPr="00EF552B">
        <w:rPr>
          <w:rFonts w:ascii="標楷體" w:eastAsia="標楷體" w:hAnsi="標楷體" w:hint="eastAsia"/>
          <w:szCs w:val="24"/>
        </w:rPr>
        <w:t>對於志願選填試探輔導課程及生涯議題專業知能，提昇教師面對學生及親子諮詢之能力。</w:t>
      </w:r>
    </w:p>
    <w:p w:rsidR="009D672F" w:rsidRDefault="009D672F" w:rsidP="00EF552B">
      <w:pPr>
        <w:spacing w:line="400" w:lineRule="exact"/>
        <w:ind w:left="600" w:hangingChars="250" w:hanging="600"/>
        <w:rPr>
          <w:rFonts w:ascii="標楷體" w:eastAsia="標楷體" w:hAnsi="標楷體"/>
          <w:szCs w:val="24"/>
        </w:rPr>
      </w:pPr>
      <w:r w:rsidRPr="00EF552B">
        <w:rPr>
          <w:rFonts w:ascii="標楷體" w:eastAsia="標楷體" w:hAnsi="標楷體" w:hint="eastAsia"/>
          <w:szCs w:val="24"/>
        </w:rPr>
        <w:t>（三）</w:t>
      </w:r>
      <w:r w:rsidR="008A1D47">
        <w:rPr>
          <w:rFonts w:ascii="標楷體" w:eastAsia="標楷體" w:hAnsi="標楷體" w:hint="eastAsia"/>
          <w:szCs w:val="24"/>
        </w:rPr>
        <w:t>針對高三學生建置多元入學志願輔導紀錄手冊，提供親師生三方</w:t>
      </w:r>
      <w:r w:rsidR="00E862DD">
        <w:rPr>
          <w:rFonts w:ascii="標楷體" w:eastAsia="標楷體" w:hAnsi="標楷體" w:hint="eastAsia"/>
          <w:szCs w:val="24"/>
        </w:rPr>
        <w:t>面對大學多元入學之</w:t>
      </w:r>
      <w:r w:rsidR="004C6AA3">
        <w:rPr>
          <w:rFonts w:ascii="標楷體" w:eastAsia="標楷體" w:hAnsi="標楷體" w:hint="eastAsia"/>
          <w:szCs w:val="24"/>
        </w:rPr>
        <w:t>輔導工具。</w:t>
      </w:r>
    </w:p>
    <w:p w:rsidR="00D03896" w:rsidRDefault="00D03896" w:rsidP="00225D22">
      <w:pPr>
        <w:rPr>
          <w:rFonts w:ascii="標楷體" w:eastAsia="標楷體" w:hAnsi="標楷體"/>
          <w:szCs w:val="24"/>
        </w:rPr>
      </w:pPr>
    </w:p>
    <w:p w:rsidR="00EF552B" w:rsidRPr="00EF552B" w:rsidRDefault="009D672F" w:rsidP="00225D22">
      <w:pPr>
        <w:rPr>
          <w:rFonts w:ascii="標楷體" w:eastAsia="標楷體" w:hAnsi="標楷體"/>
          <w:szCs w:val="24"/>
        </w:rPr>
      </w:pPr>
      <w:r w:rsidRPr="00EF552B">
        <w:rPr>
          <w:rFonts w:ascii="標楷體" w:eastAsia="標楷體" w:hAnsi="標楷體" w:hint="eastAsia"/>
          <w:szCs w:val="24"/>
        </w:rPr>
        <w:t>三、</w:t>
      </w:r>
      <w:r w:rsidR="00EF552B">
        <w:rPr>
          <w:rFonts w:ascii="標楷體" w:eastAsia="標楷體" w:hAnsi="標楷體" w:hint="eastAsia"/>
          <w:szCs w:val="24"/>
        </w:rPr>
        <w:t>辦理單位</w:t>
      </w:r>
      <w:r w:rsidR="00D03896">
        <w:rPr>
          <w:rFonts w:ascii="新細明體" w:eastAsia="新細明體" w:hAnsi="新細明體" w:hint="eastAsia"/>
          <w:szCs w:val="24"/>
        </w:rPr>
        <w:t>：</w:t>
      </w:r>
      <w:r w:rsidR="00D03896" w:rsidRPr="00C94CB0">
        <w:rPr>
          <w:rFonts w:ascii="標楷體" w:eastAsia="標楷體" w:hAnsi="標楷體" w:hint="eastAsia"/>
          <w:szCs w:val="24"/>
        </w:rPr>
        <w:t>輔導處</w:t>
      </w:r>
      <w:r w:rsidR="0088754B" w:rsidRPr="00C94CB0">
        <w:rPr>
          <w:rFonts w:ascii="標楷體" w:eastAsia="標楷體" w:hAnsi="標楷體" w:hint="eastAsia"/>
          <w:szCs w:val="24"/>
        </w:rPr>
        <w:t>、教務處</w:t>
      </w:r>
    </w:p>
    <w:p w:rsidR="000A7249" w:rsidRDefault="000A7249" w:rsidP="00225D22">
      <w:pPr>
        <w:rPr>
          <w:rFonts w:ascii="標楷體" w:eastAsia="標楷體" w:hAnsi="標楷體"/>
          <w:szCs w:val="24"/>
        </w:rPr>
      </w:pPr>
      <w:r w:rsidRPr="00B45C3E">
        <w:rPr>
          <w:rFonts w:ascii="標楷體" w:eastAsia="標楷體" w:hAnsi="標楷體" w:hint="eastAsia"/>
          <w:szCs w:val="24"/>
        </w:rPr>
        <w:t>四、實施方式</w:t>
      </w:r>
      <w:r w:rsidR="00FF0382">
        <w:rPr>
          <w:rFonts w:ascii="標楷體" w:eastAsia="標楷體" w:hAnsi="標楷體" w:hint="eastAsia"/>
          <w:szCs w:val="24"/>
        </w:rPr>
        <w:t>暨活動內容</w:t>
      </w:r>
      <w:r w:rsidRPr="00B45C3E">
        <w:rPr>
          <w:rFonts w:ascii="標楷體" w:eastAsia="標楷體" w:hAnsi="標楷體" w:hint="eastAsia"/>
          <w:szCs w:val="24"/>
        </w:rPr>
        <w:t>：</w:t>
      </w:r>
    </w:p>
    <w:tbl>
      <w:tblPr>
        <w:tblStyle w:val="a7"/>
        <w:tblW w:w="9512" w:type="dxa"/>
        <w:jc w:val="center"/>
        <w:tblLayout w:type="fixed"/>
        <w:tblLook w:val="04A0" w:firstRow="1" w:lastRow="0" w:firstColumn="1" w:lastColumn="0" w:noHBand="0" w:noVBand="1"/>
      </w:tblPr>
      <w:tblGrid>
        <w:gridCol w:w="1291"/>
        <w:gridCol w:w="1034"/>
        <w:gridCol w:w="1539"/>
        <w:gridCol w:w="2976"/>
        <w:gridCol w:w="1418"/>
        <w:gridCol w:w="1254"/>
      </w:tblGrid>
      <w:tr w:rsidR="0088754B" w:rsidRPr="00420344" w:rsidTr="002951F5">
        <w:trPr>
          <w:trHeight w:val="540"/>
          <w:jc w:val="center"/>
        </w:trPr>
        <w:tc>
          <w:tcPr>
            <w:tcW w:w="1291" w:type="dxa"/>
            <w:tcBorders>
              <w:bottom w:val="single" w:sz="4" w:space="0" w:color="auto"/>
            </w:tcBorders>
          </w:tcPr>
          <w:p w:rsidR="0088754B" w:rsidRPr="00420344" w:rsidRDefault="0088754B" w:rsidP="0088754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0344">
              <w:rPr>
                <w:rFonts w:ascii="Times New Roman" w:eastAsia="標楷體" w:hAnsi="Times New Roman" w:cs="Times New Roman"/>
                <w:szCs w:val="24"/>
              </w:rPr>
              <w:t>主題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88754B" w:rsidRPr="00420344" w:rsidRDefault="0088754B" w:rsidP="0088754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0344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88754B" w:rsidRPr="00420344" w:rsidRDefault="0088754B" w:rsidP="0088754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0344">
              <w:rPr>
                <w:rFonts w:ascii="Times New Roman" w:eastAsia="標楷體" w:hAnsi="Times New Roman" w:cs="Times New Roman"/>
                <w:szCs w:val="24"/>
              </w:rPr>
              <w:t>活動內容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8754B" w:rsidRPr="00420344" w:rsidRDefault="0088754B" w:rsidP="0088754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0344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754B" w:rsidRPr="00420344" w:rsidRDefault="0088754B" w:rsidP="0088754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0344">
              <w:rPr>
                <w:rFonts w:ascii="Times New Roman" w:eastAsia="標楷體" w:hAnsi="Times New Roman" w:cs="Times New Roman"/>
                <w:szCs w:val="24"/>
              </w:rPr>
              <w:t>參與人員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88754B" w:rsidRPr="00420344" w:rsidRDefault="0088754B" w:rsidP="0088754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0344">
              <w:rPr>
                <w:rFonts w:ascii="Times New Roman" w:eastAsia="標楷體" w:hAnsi="Times New Roman" w:cs="Times New Roman"/>
                <w:szCs w:val="24"/>
              </w:rPr>
              <w:t>辦理單位</w:t>
            </w:r>
          </w:p>
        </w:tc>
      </w:tr>
      <w:tr w:rsidR="0088754B" w:rsidRPr="00420344" w:rsidTr="002951F5">
        <w:trPr>
          <w:trHeight w:val="1185"/>
          <w:jc w:val="center"/>
        </w:trPr>
        <w:tc>
          <w:tcPr>
            <w:tcW w:w="1291" w:type="dxa"/>
            <w:vMerge w:val="restart"/>
          </w:tcPr>
          <w:p w:rsidR="0088754B" w:rsidRPr="00420344" w:rsidRDefault="0088754B" w:rsidP="0088754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多元入學</w:t>
            </w:r>
            <w:r w:rsidRPr="00420344">
              <w:rPr>
                <w:rFonts w:ascii="Times New Roman" w:eastAsia="標楷體" w:hAnsi="Times New Roman" w:cs="Times New Roman"/>
                <w:szCs w:val="24"/>
              </w:rPr>
              <w:t>適性輔導說明會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88754B" w:rsidRPr="00420344" w:rsidRDefault="004C6AA3" w:rsidP="004C6AA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106.11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88754B" w:rsidRPr="00420344" w:rsidRDefault="0088754B" w:rsidP="0088754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0344">
              <w:rPr>
                <w:rFonts w:ascii="Times New Roman" w:eastAsia="標楷體" w:hAnsi="Times New Roman" w:cs="Times New Roman"/>
                <w:szCs w:val="24"/>
              </w:rPr>
              <w:t>教師場說明會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8754B" w:rsidRPr="00420344" w:rsidRDefault="0088754B" w:rsidP="004C6AA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0344">
              <w:rPr>
                <w:rFonts w:ascii="Times New Roman" w:eastAsia="標楷體" w:hAnsi="Times New Roman" w:cs="Times New Roman"/>
                <w:szCs w:val="24"/>
              </w:rPr>
              <w:t>提供導師「</w:t>
            </w:r>
            <w:r w:rsidR="004C6AA3">
              <w:rPr>
                <w:rFonts w:ascii="Times New Roman" w:eastAsia="標楷體" w:hAnsi="Times New Roman" w:cs="Times New Roman" w:hint="eastAsia"/>
                <w:szCs w:val="24"/>
              </w:rPr>
              <w:t>多元入學</w:t>
            </w:r>
            <w:r w:rsidR="004C6AA3" w:rsidRPr="00C134BF">
              <w:rPr>
                <w:rFonts w:ascii="Times New Roman" w:eastAsia="標楷體" w:hAnsi="Times New Roman" w:cs="Times New Roman"/>
                <w:szCs w:val="24"/>
              </w:rPr>
              <w:t>適性志願選填</w:t>
            </w:r>
            <w:r w:rsidRPr="00420344">
              <w:rPr>
                <w:rFonts w:ascii="Times New Roman" w:eastAsia="標楷體" w:hAnsi="Times New Roman" w:cs="Times New Roman"/>
                <w:szCs w:val="24"/>
              </w:rPr>
              <w:t>」輔導因應策略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754B" w:rsidRPr="00420344" w:rsidRDefault="0088754B" w:rsidP="0088754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高</w:t>
            </w:r>
            <w:r w:rsidRPr="00420344">
              <w:rPr>
                <w:rFonts w:ascii="Times New Roman" w:eastAsia="標楷體" w:hAnsi="Times New Roman" w:cs="Times New Roman"/>
                <w:szCs w:val="24"/>
              </w:rPr>
              <w:t>三導師及</w:t>
            </w:r>
            <w:r w:rsidR="00A7797F">
              <w:rPr>
                <w:rFonts w:ascii="Times New Roman" w:eastAsia="標楷體" w:hAnsi="Times New Roman" w:cs="Times New Roman"/>
                <w:szCs w:val="24"/>
              </w:rPr>
              <w:t>輔導教師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88754B" w:rsidRPr="00420344" w:rsidRDefault="0088754B" w:rsidP="0088754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0344">
              <w:rPr>
                <w:rFonts w:ascii="Times New Roman" w:eastAsia="標楷體" w:hAnsi="Times New Roman" w:cs="Times New Roman"/>
                <w:szCs w:val="24"/>
              </w:rPr>
              <w:t>輔導處</w:t>
            </w:r>
          </w:p>
        </w:tc>
      </w:tr>
      <w:tr w:rsidR="0088754B" w:rsidRPr="00420344" w:rsidTr="002951F5">
        <w:trPr>
          <w:trHeight w:val="960"/>
          <w:jc w:val="center"/>
        </w:trPr>
        <w:tc>
          <w:tcPr>
            <w:tcW w:w="1291" w:type="dxa"/>
            <w:vMerge/>
          </w:tcPr>
          <w:p w:rsidR="0088754B" w:rsidRPr="00420344" w:rsidRDefault="0088754B" w:rsidP="0088754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88754B" w:rsidRPr="00420344" w:rsidRDefault="004C6AA3" w:rsidP="0088754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106.10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88754B" w:rsidRDefault="0088754B" w:rsidP="0088754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學生場</w:t>
            </w:r>
          </w:p>
          <w:p w:rsidR="0088754B" w:rsidRPr="00420344" w:rsidRDefault="0088754B" w:rsidP="00555A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說明會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8754B" w:rsidRPr="00420344" w:rsidRDefault="0088754B" w:rsidP="0088754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7713"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多元入學志願紀錄手冊</w:t>
            </w:r>
            <w:r w:rsidRPr="00087713"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學生說明會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754B" w:rsidRPr="00087713" w:rsidRDefault="0088754B" w:rsidP="0088754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高</w:t>
            </w:r>
            <w:r w:rsidRPr="00087713">
              <w:rPr>
                <w:rFonts w:ascii="Times New Roman" w:eastAsia="標楷體" w:hAnsi="Times New Roman" w:cs="Times New Roman" w:hint="eastAsia"/>
                <w:szCs w:val="24"/>
              </w:rPr>
              <w:t>三導師及</w:t>
            </w:r>
            <w:r w:rsidR="00A7797F">
              <w:rPr>
                <w:rFonts w:ascii="Times New Roman" w:eastAsia="標楷體" w:hAnsi="Times New Roman" w:cs="Times New Roman" w:hint="eastAsia"/>
                <w:szCs w:val="24"/>
              </w:rPr>
              <w:t>輔導教師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88754B" w:rsidRPr="00420344" w:rsidRDefault="0088754B" w:rsidP="0088754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輔導處</w:t>
            </w:r>
          </w:p>
        </w:tc>
      </w:tr>
      <w:tr w:rsidR="0088754B" w:rsidRPr="00420344" w:rsidTr="002951F5">
        <w:trPr>
          <w:trHeight w:val="1035"/>
          <w:jc w:val="center"/>
        </w:trPr>
        <w:tc>
          <w:tcPr>
            <w:tcW w:w="1291" w:type="dxa"/>
            <w:vMerge/>
          </w:tcPr>
          <w:p w:rsidR="0088754B" w:rsidRPr="00420344" w:rsidRDefault="0088754B" w:rsidP="0088754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88754B" w:rsidRPr="00420344" w:rsidRDefault="004C6AA3" w:rsidP="004C6AA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107.3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88754B" w:rsidRPr="00420344" w:rsidRDefault="0088754B" w:rsidP="00555A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20344">
              <w:rPr>
                <w:rFonts w:ascii="Times New Roman" w:eastAsia="標楷體" w:hAnsi="Times New Roman" w:cs="Times New Roman"/>
                <w:szCs w:val="24"/>
              </w:rPr>
              <w:t>家長說明會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8754B" w:rsidRPr="00C134BF" w:rsidRDefault="0088754B" w:rsidP="0088754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C134BF">
              <w:rPr>
                <w:rFonts w:ascii="Times New Roman" w:eastAsia="標楷體" w:hAnsi="Times New Roman" w:cs="Times New Roman"/>
                <w:szCs w:val="24"/>
              </w:rPr>
              <w:t>多元入學管道說明</w:t>
            </w:r>
            <w:r w:rsidRPr="00C134B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88754B" w:rsidRPr="00C134BF" w:rsidRDefault="0088754B" w:rsidP="0088754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C134BF">
              <w:rPr>
                <w:rFonts w:ascii="Times New Roman" w:eastAsia="標楷體" w:hAnsi="Times New Roman" w:cs="Times New Roman"/>
                <w:szCs w:val="24"/>
              </w:rPr>
              <w:t>提供家長「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多元入學</w:t>
            </w:r>
            <w:r w:rsidRPr="00C134BF">
              <w:rPr>
                <w:rFonts w:ascii="Times New Roman" w:eastAsia="標楷體" w:hAnsi="Times New Roman" w:cs="Times New Roman"/>
                <w:szCs w:val="24"/>
              </w:rPr>
              <w:t>適性志願選填」輔導因應策略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754B" w:rsidRPr="00420344" w:rsidRDefault="0088754B" w:rsidP="0088754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高</w:t>
            </w:r>
            <w:r w:rsidRPr="00420344">
              <w:rPr>
                <w:rFonts w:ascii="Times New Roman" w:eastAsia="標楷體" w:hAnsi="Times New Roman" w:cs="Times New Roman"/>
                <w:szCs w:val="24"/>
              </w:rPr>
              <w:t>三學生家長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88754B" w:rsidRPr="00420344" w:rsidRDefault="0088754B" w:rsidP="0088754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0344">
              <w:rPr>
                <w:rFonts w:ascii="Times New Roman" w:eastAsia="標楷體" w:hAnsi="Times New Roman" w:cs="Times New Roman"/>
                <w:szCs w:val="24"/>
              </w:rPr>
              <w:t>輔導處、教務處</w:t>
            </w:r>
          </w:p>
        </w:tc>
      </w:tr>
      <w:tr w:rsidR="00555AD6" w:rsidRPr="00420344" w:rsidTr="00095292">
        <w:trPr>
          <w:trHeight w:val="1745"/>
          <w:jc w:val="center"/>
        </w:trPr>
        <w:tc>
          <w:tcPr>
            <w:tcW w:w="1291" w:type="dxa"/>
            <w:vMerge w:val="restart"/>
            <w:tcBorders>
              <w:top w:val="double" w:sz="4" w:space="0" w:color="auto"/>
            </w:tcBorders>
          </w:tcPr>
          <w:p w:rsidR="00555AD6" w:rsidRPr="00420344" w:rsidRDefault="00555AD6" w:rsidP="0088754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0344">
              <w:rPr>
                <w:rFonts w:ascii="Times New Roman" w:eastAsia="標楷體" w:hAnsi="Times New Roman" w:cs="Times New Roman"/>
                <w:szCs w:val="24"/>
              </w:rPr>
              <w:t>第一階段輔導</w:t>
            </w:r>
          </w:p>
        </w:tc>
        <w:tc>
          <w:tcPr>
            <w:tcW w:w="1034" w:type="dxa"/>
            <w:tcBorders>
              <w:top w:val="double" w:sz="4" w:space="0" w:color="auto"/>
            </w:tcBorders>
          </w:tcPr>
          <w:p w:rsidR="00555AD6" w:rsidRDefault="00555AD6" w:rsidP="0088754B">
            <w:pPr>
              <w:tabs>
                <w:tab w:val="left" w:pos="705"/>
              </w:tabs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106.8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起</w:t>
            </w:r>
          </w:p>
        </w:tc>
        <w:tc>
          <w:tcPr>
            <w:tcW w:w="1539" w:type="dxa"/>
            <w:tcBorders>
              <w:top w:val="double" w:sz="4" w:space="0" w:color="auto"/>
            </w:tcBorders>
          </w:tcPr>
          <w:p w:rsidR="00555AD6" w:rsidRPr="00420344" w:rsidRDefault="00555AD6" w:rsidP="00555A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學習策略工作坊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shd w:val="clear" w:color="auto" w:fill="auto"/>
          </w:tcPr>
          <w:p w:rsidR="00555AD6" w:rsidRDefault="00555AD6" w:rsidP="00555AD6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555AD6">
              <w:rPr>
                <w:rFonts w:ascii="Times New Roman" w:eastAsia="標楷體" w:hAnsi="Times New Roman" w:cs="Times New Roman" w:hint="eastAsia"/>
                <w:szCs w:val="24"/>
              </w:rPr>
              <w:t>學生歷次段考成績資料庫建立與分析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555AD6" w:rsidRDefault="00555AD6" w:rsidP="00555AD6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製作並提供學生歷次段考成績個人報表。</w:t>
            </w:r>
          </w:p>
          <w:p w:rsidR="00555AD6" w:rsidRPr="00555AD6" w:rsidRDefault="00555AD6" w:rsidP="00555AD6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入班說明個人報表使用方式與學習策略建議。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555AD6" w:rsidRDefault="00A7797F" w:rsidP="0088754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輔導教師</w:t>
            </w:r>
          </w:p>
          <w:p w:rsidR="00CB73EA" w:rsidRPr="00555AD6" w:rsidRDefault="00CB73EA" w:rsidP="0088754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高三學生</w:t>
            </w:r>
          </w:p>
        </w:tc>
        <w:tc>
          <w:tcPr>
            <w:tcW w:w="1254" w:type="dxa"/>
            <w:tcBorders>
              <w:top w:val="double" w:sz="4" w:space="0" w:color="auto"/>
            </w:tcBorders>
          </w:tcPr>
          <w:p w:rsidR="00555AD6" w:rsidRPr="00420344" w:rsidRDefault="00CB73EA" w:rsidP="0088754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輔導處</w:t>
            </w:r>
          </w:p>
        </w:tc>
      </w:tr>
      <w:tr w:rsidR="00555AD6" w:rsidRPr="00420344" w:rsidTr="00095292">
        <w:trPr>
          <w:trHeight w:val="1745"/>
          <w:jc w:val="center"/>
        </w:trPr>
        <w:tc>
          <w:tcPr>
            <w:tcW w:w="1291" w:type="dxa"/>
            <w:vMerge/>
          </w:tcPr>
          <w:p w:rsidR="00555AD6" w:rsidRPr="00420344" w:rsidRDefault="00555AD6" w:rsidP="0088754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555AD6" w:rsidRPr="00420344" w:rsidRDefault="00555AD6" w:rsidP="0088754B">
            <w:pPr>
              <w:tabs>
                <w:tab w:val="left" w:pos="705"/>
              </w:tabs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106.11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起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555AD6" w:rsidRPr="00420344" w:rsidRDefault="00555AD6" w:rsidP="002951F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0344">
              <w:rPr>
                <w:rFonts w:ascii="Times New Roman" w:eastAsia="標楷體" w:hAnsi="Times New Roman" w:cs="Times New Roman"/>
                <w:szCs w:val="24"/>
              </w:rPr>
              <w:t>學生個人</w:t>
            </w:r>
            <w:r>
              <w:rPr>
                <w:rFonts w:ascii="標楷體" w:eastAsia="標楷體" w:hAnsi="標楷體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多元入學</w:t>
            </w:r>
            <w:r w:rsidRPr="00C134BF">
              <w:rPr>
                <w:rFonts w:ascii="Times New Roman" w:eastAsia="標楷體" w:hAnsi="Times New Roman" w:cs="Times New Roman"/>
                <w:szCs w:val="24"/>
              </w:rPr>
              <w:t>適性志願選填</w:t>
            </w:r>
            <w:r>
              <w:rPr>
                <w:rFonts w:ascii="標楷體" w:eastAsia="標楷體" w:hAnsi="標楷體" w:cs="Times New Roman" w:hint="eastAsia"/>
                <w:szCs w:val="24"/>
              </w:rPr>
              <w:t>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繁星初篩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555AD6" w:rsidRPr="00420344" w:rsidRDefault="00A7797F" w:rsidP="006E24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輔導教師</w:t>
            </w:r>
            <w:r w:rsidR="006E2400" w:rsidRPr="006E2400">
              <w:rPr>
                <w:rFonts w:ascii="Times New Roman" w:eastAsia="標楷體" w:hAnsi="Times New Roman" w:cs="Times New Roman" w:hint="eastAsia"/>
                <w:szCs w:val="24"/>
              </w:rPr>
              <w:t>篩選符合繁星資格之學生，透過</w:t>
            </w:r>
            <w:bookmarkStart w:id="0" w:name="_GoBack"/>
            <w:bookmarkEnd w:id="0"/>
            <w:r w:rsidR="006E2400" w:rsidRPr="006E2400">
              <w:rPr>
                <w:rFonts w:ascii="Times New Roman" w:eastAsia="標楷體" w:hAnsi="Times New Roman" w:cs="Times New Roman" w:hint="eastAsia"/>
                <w:szCs w:val="24"/>
              </w:rPr>
              <w:t>每週一次</w:t>
            </w:r>
            <w:r w:rsidR="006E2400" w:rsidRPr="006E2400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6E2400" w:rsidRPr="006E2400">
              <w:rPr>
                <w:rFonts w:ascii="Times New Roman" w:eastAsia="標楷體" w:hAnsi="Times New Roman" w:cs="Times New Roman" w:hint="eastAsia"/>
                <w:szCs w:val="24"/>
              </w:rPr>
              <w:t>人、為期兩週之團體諮詢的方式，協助學生選填適合之志願。（預計服務</w:t>
            </w:r>
            <w:r w:rsidR="006E2400" w:rsidRPr="006E2400">
              <w:rPr>
                <w:rFonts w:ascii="Times New Roman" w:eastAsia="標楷體" w:hAnsi="Times New Roman" w:cs="Times New Roman" w:hint="eastAsia"/>
                <w:szCs w:val="24"/>
              </w:rPr>
              <w:t>80</w:t>
            </w:r>
            <w:r w:rsidR="006E2400" w:rsidRPr="006E2400">
              <w:rPr>
                <w:rFonts w:ascii="Times New Roman" w:eastAsia="標楷體" w:hAnsi="Times New Roman" w:cs="Times New Roman" w:hint="eastAsia"/>
                <w:szCs w:val="24"/>
              </w:rPr>
              <w:t>人次）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55AD6" w:rsidRDefault="00A7797F" w:rsidP="0088754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輔導教師</w:t>
            </w:r>
          </w:p>
          <w:p w:rsidR="00555AD6" w:rsidRPr="00420344" w:rsidRDefault="00555AD6" w:rsidP="0088754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高三符合繁星資格學生</w:t>
            </w: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555AD6" w:rsidRPr="00420344" w:rsidRDefault="00555AD6" w:rsidP="0088754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0344">
              <w:rPr>
                <w:rFonts w:ascii="Times New Roman" w:eastAsia="標楷體" w:hAnsi="Times New Roman" w:cs="Times New Roman"/>
                <w:szCs w:val="24"/>
              </w:rPr>
              <w:t>輔導處</w:t>
            </w:r>
          </w:p>
        </w:tc>
      </w:tr>
      <w:tr w:rsidR="002951F5" w:rsidRPr="00420344" w:rsidTr="00095292">
        <w:trPr>
          <w:trHeight w:val="1745"/>
          <w:jc w:val="center"/>
        </w:trPr>
        <w:tc>
          <w:tcPr>
            <w:tcW w:w="1291" w:type="dxa"/>
            <w:tcBorders>
              <w:top w:val="double" w:sz="4" w:space="0" w:color="auto"/>
            </w:tcBorders>
          </w:tcPr>
          <w:p w:rsidR="002951F5" w:rsidRPr="00420344" w:rsidRDefault="002951F5" w:rsidP="0088754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34" w:type="dxa"/>
            <w:tcBorders>
              <w:top w:val="double" w:sz="4" w:space="0" w:color="auto"/>
            </w:tcBorders>
          </w:tcPr>
          <w:p w:rsidR="002951F5" w:rsidRPr="00420344" w:rsidRDefault="002951F5" w:rsidP="00056539">
            <w:pPr>
              <w:tabs>
                <w:tab w:val="left" w:pos="705"/>
              </w:tabs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106.11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起</w:t>
            </w:r>
          </w:p>
        </w:tc>
        <w:tc>
          <w:tcPr>
            <w:tcW w:w="1539" w:type="dxa"/>
            <w:tcBorders>
              <w:top w:val="double" w:sz="4" w:space="0" w:color="auto"/>
            </w:tcBorders>
          </w:tcPr>
          <w:p w:rsidR="002951F5" w:rsidRPr="00420344" w:rsidRDefault="002951F5" w:rsidP="002951F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0344">
              <w:rPr>
                <w:rFonts w:ascii="Times New Roman" w:eastAsia="標楷體" w:hAnsi="Times New Roman" w:cs="Times New Roman"/>
                <w:szCs w:val="24"/>
              </w:rPr>
              <w:t>學生個人</w:t>
            </w:r>
            <w:r>
              <w:rPr>
                <w:rFonts w:ascii="標楷體" w:eastAsia="標楷體" w:hAnsi="標楷體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多元入學</w:t>
            </w:r>
            <w:r w:rsidRPr="00C134BF">
              <w:rPr>
                <w:rFonts w:ascii="Times New Roman" w:eastAsia="標楷體" w:hAnsi="Times New Roman" w:cs="Times New Roman"/>
                <w:szCs w:val="24"/>
              </w:rPr>
              <w:t>適性志願選填</w:t>
            </w:r>
            <w:r>
              <w:rPr>
                <w:rFonts w:ascii="標楷體" w:eastAsia="標楷體" w:hAnsi="標楷體" w:cs="Times New Roman" w:hint="eastAsia"/>
                <w:szCs w:val="24"/>
              </w:rPr>
              <w:t>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個申初篩</w:t>
            </w:r>
            <w:r w:rsidRPr="00420344">
              <w:rPr>
                <w:rFonts w:ascii="Times New Roman" w:eastAsia="標楷體" w:hAnsi="Times New Roman" w:cs="Times New Roman"/>
                <w:szCs w:val="24"/>
              </w:rPr>
              <w:t>初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篩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shd w:val="clear" w:color="auto" w:fill="auto"/>
          </w:tcPr>
          <w:p w:rsidR="002951F5" w:rsidRPr="00420344" w:rsidRDefault="00A7797F" w:rsidP="006E24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輔導教師</w:t>
            </w:r>
            <w:r w:rsidR="006E2400" w:rsidRPr="006E2400">
              <w:rPr>
                <w:rFonts w:ascii="Times New Roman" w:eastAsia="標楷體" w:hAnsi="Times New Roman" w:cs="Times New Roman" w:hint="eastAsia"/>
                <w:szCs w:val="24"/>
              </w:rPr>
              <w:t>篩選符合個人申請之學生，透過每週一次</w:t>
            </w:r>
            <w:r w:rsidR="006E2400" w:rsidRPr="006E2400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6E2400" w:rsidRPr="006E2400">
              <w:rPr>
                <w:rFonts w:ascii="Times New Roman" w:eastAsia="標楷體" w:hAnsi="Times New Roman" w:cs="Times New Roman" w:hint="eastAsia"/>
                <w:szCs w:val="24"/>
              </w:rPr>
              <w:t>人、為期兩週之團體諮詢的方式，協助學生選填適合之志願。（預計服務</w:t>
            </w:r>
            <w:r w:rsidR="006E2400" w:rsidRPr="006E2400">
              <w:rPr>
                <w:rFonts w:ascii="Times New Roman" w:eastAsia="標楷體" w:hAnsi="Times New Roman" w:cs="Times New Roman" w:hint="eastAsia"/>
                <w:szCs w:val="24"/>
              </w:rPr>
              <w:t>80</w:t>
            </w:r>
            <w:r w:rsidR="006E2400" w:rsidRPr="006E2400">
              <w:rPr>
                <w:rFonts w:ascii="Times New Roman" w:eastAsia="標楷體" w:hAnsi="Times New Roman" w:cs="Times New Roman" w:hint="eastAsia"/>
                <w:szCs w:val="24"/>
              </w:rPr>
              <w:t>人次）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2951F5" w:rsidRDefault="00A7797F" w:rsidP="002951F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輔導教師</w:t>
            </w:r>
          </w:p>
          <w:p w:rsidR="002951F5" w:rsidRPr="00420344" w:rsidRDefault="002951F5" w:rsidP="002951F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高三學生</w:t>
            </w:r>
          </w:p>
        </w:tc>
        <w:tc>
          <w:tcPr>
            <w:tcW w:w="1254" w:type="dxa"/>
            <w:tcBorders>
              <w:top w:val="double" w:sz="4" w:space="0" w:color="auto"/>
            </w:tcBorders>
          </w:tcPr>
          <w:p w:rsidR="002951F5" w:rsidRPr="00420344" w:rsidRDefault="002951F5" w:rsidP="0005653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0344">
              <w:rPr>
                <w:rFonts w:ascii="Times New Roman" w:eastAsia="標楷體" w:hAnsi="Times New Roman" w:cs="Times New Roman"/>
                <w:szCs w:val="24"/>
              </w:rPr>
              <w:t>輔導處</w:t>
            </w:r>
          </w:p>
        </w:tc>
      </w:tr>
      <w:tr w:rsidR="002951F5" w:rsidRPr="00420344" w:rsidTr="002951F5">
        <w:trPr>
          <w:jc w:val="center"/>
        </w:trPr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</w:tcPr>
          <w:p w:rsidR="002951F5" w:rsidRPr="00420344" w:rsidRDefault="002951F5" w:rsidP="0088754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0344">
              <w:rPr>
                <w:rFonts w:ascii="Times New Roman" w:eastAsia="標楷體" w:hAnsi="Times New Roman" w:cs="Times New Roman"/>
                <w:szCs w:val="24"/>
              </w:rPr>
              <w:t>第二階段輔導</w:t>
            </w: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</w:tcBorders>
          </w:tcPr>
          <w:p w:rsidR="002951F5" w:rsidRPr="00420344" w:rsidRDefault="002951F5" w:rsidP="0088754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tcBorders>
              <w:top w:val="double" w:sz="4" w:space="0" w:color="auto"/>
              <w:bottom w:val="double" w:sz="4" w:space="0" w:color="auto"/>
            </w:tcBorders>
          </w:tcPr>
          <w:p w:rsidR="00E84403" w:rsidRPr="00420344" w:rsidRDefault="00E84403" w:rsidP="0088754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未定向學生二級輔導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</w:tcPr>
          <w:p w:rsidR="002951F5" w:rsidRPr="00420344" w:rsidRDefault="00A7797F" w:rsidP="0088754B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輔導教師</w:t>
            </w:r>
            <w:r w:rsidR="002951F5" w:rsidRPr="00420344">
              <w:rPr>
                <w:rFonts w:ascii="Times New Roman" w:eastAsia="標楷體" w:hAnsi="Times New Roman" w:cs="Times New Roman"/>
                <w:szCs w:val="24"/>
              </w:rPr>
              <w:t>輔導志願試選填「定向型」之學生確認志願</w:t>
            </w:r>
            <w:r w:rsidR="002951F5">
              <w:rPr>
                <w:rFonts w:ascii="Times New Roman" w:eastAsia="標楷體" w:hAnsi="Times New Roman" w:cs="Times New Roman" w:hint="eastAsia"/>
                <w:szCs w:val="24"/>
              </w:rPr>
              <w:t>取向</w:t>
            </w:r>
          </w:p>
          <w:p w:rsidR="002951F5" w:rsidRPr="00420344" w:rsidRDefault="002951F5" w:rsidP="0088754B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20344">
              <w:rPr>
                <w:rFonts w:ascii="Times New Roman" w:eastAsia="標楷體" w:hAnsi="Times New Roman" w:cs="Times New Roman"/>
                <w:szCs w:val="24"/>
              </w:rPr>
              <w:t>志願試選填後「未定向型」及「迷失型」的學生填具【適性輔導諮詢表】，並向輔導申請輔導諮詢。</w:t>
            </w:r>
          </w:p>
          <w:p w:rsidR="002951F5" w:rsidRPr="00420344" w:rsidRDefault="00A7797F" w:rsidP="0088754B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輔導教師</w:t>
            </w:r>
            <w:r w:rsidR="002951F5" w:rsidRPr="00420344">
              <w:rPr>
                <w:rFonts w:ascii="Times New Roman" w:eastAsia="標楷體" w:hAnsi="Times New Roman" w:cs="Times New Roman"/>
                <w:szCs w:val="24"/>
              </w:rPr>
              <w:t>輔導志願試選填「未定向型」及「迷失型」學生確認志願</w:t>
            </w:r>
            <w:r w:rsidR="002951F5">
              <w:rPr>
                <w:rFonts w:ascii="Times New Roman" w:eastAsia="標楷體" w:hAnsi="Times New Roman" w:cs="Times New Roman" w:hint="eastAsia"/>
                <w:szCs w:val="24"/>
              </w:rPr>
              <w:t>取向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2951F5" w:rsidRPr="00420344" w:rsidRDefault="00A7797F" w:rsidP="0088754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輔導教師</w:t>
            </w:r>
            <w:r w:rsidR="002951F5" w:rsidRPr="00420344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2951F5">
              <w:rPr>
                <w:rFonts w:ascii="Times New Roman" w:eastAsia="標楷體" w:hAnsi="Times New Roman" w:cs="Times New Roman" w:hint="eastAsia"/>
                <w:szCs w:val="24"/>
              </w:rPr>
              <w:t>輔導主任、輔導組長、導師、高三學生</w:t>
            </w:r>
          </w:p>
        </w:tc>
        <w:tc>
          <w:tcPr>
            <w:tcW w:w="1254" w:type="dxa"/>
            <w:tcBorders>
              <w:top w:val="double" w:sz="4" w:space="0" w:color="auto"/>
              <w:bottom w:val="double" w:sz="4" w:space="0" w:color="auto"/>
            </w:tcBorders>
          </w:tcPr>
          <w:p w:rsidR="002951F5" w:rsidRPr="00420344" w:rsidRDefault="002951F5" w:rsidP="0088754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0344">
              <w:rPr>
                <w:rFonts w:ascii="Times New Roman" w:eastAsia="標楷體" w:hAnsi="Times New Roman" w:cs="Times New Roman"/>
                <w:szCs w:val="24"/>
              </w:rPr>
              <w:t>輔導處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、教務處</w:t>
            </w:r>
          </w:p>
        </w:tc>
      </w:tr>
      <w:tr w:rsidR="00A7797F" w:rsidRPr="00420344" w:rsidTr="00095292">
        <w:trPr>
          <w:jc w:val="center"/>
        </w:trPr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</w:tcPr>
          <w:p w:rsidR="00A7797F" w:rsidRPr="00420344" w:rsidRDefault="00A7797F" w:rsidP="00A7797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F2824">
              <w:rPr>
                <w:rFonts w:ascii="Times New Roman" w:eastAsia="標楷體" w:hAnsi="Times New Roman" w:cs="Times New Roman" w:hint="eastAsia"/>
                <w:szCs w:val="24"/>
              </w:rPr>
              <w:t>第三階段輔導</w:t>
            </w: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</w:tcBorders>
          </w:tcPr>
          <w:p w:rsidR="00A7797F" w:rsidRPr="00420344" w:rsidRDefault="00A7797F" w:rsidP="00A7797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tcBorders>
              <w:top w:val="double" w:sz="4" w:space="0" w:color="auto"/>
              <w:bottom w:val="double" w:sz="4" w:space="0" w:color="auto"/>
            </w:tcBorders>
          </w:tcPr>
          <w:p w:rsidR="00A7797F" w:rsidRPr="00420344" w:rsidRDefault="00A7797F" w:rsidP="00A7797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未上榜輔導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E3C0E" w:rsidRPr="001E3C0E" w:rsidRDefault="00A7797F" w:rsidP="001E3C0E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提供未上榜學生學習策略晤談</w:t>
            </w:r>
            <w:r w:rsidR="00F06C10">
              <w:rPr>
                <w:rFonts w:ascii="Times New Roman" w:eastAsia="標楷體" w:hAnsi="Times New Roman" w:cs="Times New Roman" w:hint="eastAsia"/>
                <w:szCs w:val="24"/>
              </w:rPr>
              <w:t>以供學生申請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7797F" w:rsidRPr="00420344" w:rsidRDefault="00A7797F" w:rsidP="00A7797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輔導教師</w:t>
            </w:r>
          </w:p>
        </w:tc>
        <w:tc>
          <w:tcPr>
            <w:tcW w:w="1254" w:type="dxa"/>
            <w:tcBorders>
              <w:top w:val="double" w:sz="4" w:space="0" w:color="auto"/>
              <w:bottom w:val="double" w:sz="4" w:space="0" w:color="auto"/>
            </w:tcBorders>
          </w:tcPr>
          <w:p w:rsidR="00A7797F" w:rsidRPr="00420344" w:rsidRDefault="00A7797F" w:rsidP="00A7797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0344">
              <w:rPr>
                <w:rFonts w:ascii="Times New Roman" w:eastAsia="標楷體" w:hAnsi="Times New Roman" w:cs="Times New Roman"/>
                <w:szCs w:val="24"/>
              </w:rPr>
              <w:t>輔導處、教務處</w:t>
            </w:r>
          </w:p>
        </w:tc>
      </w:tr>
    </w:tbl>
    <w:p w:rsidR="005B1CB2" w:rsidRDefault="005B1CB2" w:rsidP="00225D22">
      <w:pPr>
        <w:rPr>
          <w:rFonts w:ascii="標楷體" w:eastAsia="標楷體" w:hAnsi="標楷體"/>
          <w:szCs w:val="24"/>
        </w:rPr>
      </w:pPr>
    </w:p>
    <w:p w:rsidR="00EF552B" w:rsidRPr="00420344" w:rsidRDefault="008B3B52" w:rsidP="003C5DE1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五</w:t>
      </w:r>
      <w:r>
        <w:rPr>
          <w:rFonts w:ascii="新細明體" w:eastAsia="新細明體" w:hAnsi="新細明體" w:cs="Times New Roman" w:hint="eastAsia"/>
          <w:szCs w:val="24"/>
        </w:rPr>
        <w:t>、</w:t>
      </w:r>
      <w:r>
        <w:rPr>
          <w:rFonts w:ascii="Times New Roman" w:eastAsia="標楷體" w:hAnsi="Times New Roman" w:cs="Times New Roman" w:hint="eastAsia"/>
          <w:szCs w:val="24"/>
        </w:rPr>
        <w:t>志願選填適性輔導</w:t>
      </w:r>
      <w:r w:rsidR="0088754B">
        <w:rPr>
          <w:rFonts w:ascii="Times New Roman" w:eastAsia="標楷體" w:hAnsi="Times New Roman" w:cs="Times New Roman" w:hint="eastAsia"/>
          <w:szCs w:val="24"/>
        </w:rPr>
        <w:t>手冊如</w:t>
      </w:r>
      <w:r>
        <w:rPr>
          <w:rFonts w:ascii="Times New Roman" w:eastAsia="標楷體" w:hAnsi="Times New Roman" w:cs="Times New Roman" w:hint="eastAsia"/>
          <w:szCs w:val="24"/>
        </w:rPr>
        <w:t>附件一</w:t>
      </w:r>
      <w:r>
        <w:rPr>
          <w:rFonts w:ascii="標楷體" w:eastAsia="標楷體" w:hAnsi="標楷體" w:cs="Times New Roman" w:hint="eastAsia"/>
          <w:szCs w:val="24"/>
        </w:rPr>
        <w:t>；</w:t>
      </w:r>
      <w:r w:rsidRPr="008B3B52">
        <w:rPr>
          <w:rFonts w:ascii="標楷體" w:eastAsia="標楷體" w:hAnsi="標楷體" w:cs="Times New Roman" w:hint="eastAsia"/>
          <w:szCs w:val="24"/>
        </w:rPr>
        <w:t>適性輔導諮詢表</w:t>
      </w:r>
      <w:r>
        <w:rPr>
          <w:rFonts w:ascii="標楷體" w:eastAsia="標楷體" w:hAnsi="標楷體" w:cs="Times New Roman" w:hint="eastAsia"/>
          <w:szCs w:val="24"/>
        </w:rPr>
        <w:t>如附件二</w:t>
      </w:r>
      <w:r>
        <w:rPr>
          <w:rFonts w:ascii="新細明體" w:eastAsia="新細明體" w:hAnsi="新細明體" w:cs="Times New Roman" w:hint="eastAsia"/>
          <w:szCs w:val="24"/>
        </w:rPr>
        <w:t>。</w:t>
      </w:r>
    </w:p>
    <w:p w:rsidR="00EF552B" w:rsidRPr="008B3B52" w:rsidRDefault="008B3B52" w:rsidP="003C5D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Pr="008B3B52">
        <w:rPr>
          <w:rFonts w:ascii="標楷體" w:eastAsia="標楷體" w:hAnsi="標楷體" w:hint="eastAsia"/>
          <w:szCs w:val="24"/>
        </w:rPr>
        <w:t>、經費來源：由</w:t>
      </w:r>
      <w:r w:rsidR="0088754B">
        <w:rPr>
          <w:rFonts w:ascii="標楷體" w:eastAsia="標楷體" w:hAnsi="標楷體" w:hint="eastAsia"/>
          <w:szCs w:val="24"/>
        </w:rPr>
        <w:t>本校相關經費項下支出</w:t>
      </w:r>
    </w:p>
    <w:p w:rsidR="0088754B" w:rsidRDefault="008B3B52" w:rsidP="003C5D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Pr="008B3B52">
        <w:rPr>
          <w:rFonts w:ascii="標楷體" w:eastAsia="標楷體" w:hAnsi="標楷體" w:hint="eastAsia"/>
          <w:szCs w:val="24"/>
        </w:rPr>
        <w:t>、</w:t>
      </w:r>
      <w:r w:rsidR="0088754B">
        <w:rPr>
          <w:rFonts w:ascii="標楷體" w:eastAsia="標楷體" w:hAnsi="標楷體" w:hint="eastAsia"/>
          <w:szCs w:val="24"/>
        </w:rPr>
        <w:t>經費概算</w:t>
      </w:r>
    </w:p>
    <w:tbl>
      <w:tblPr>
        <w:tblW w:w="9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038"/>
        <w:gridCol w:w="1148"/>
        <w:gridCol w:w="925"/>
        <w:gridCol w:w="1559"/>
        <w:gridCol w:w="1701"/>
        <w:gridCol w:w="1360"/>
      </w:tblGrid>
      <w:tr w:rsidR="004C6AA3" w:rsidRPr="000E5A77" w:rsidTr="004C6AA3">
        <w:tc>
          <w:tcPr>
            <w:tcW w:w="709" w:type="dxa"/>
            <w:shd w:val="clear" w:color="auto" w:fill="auto"/>
            <w:vAlign w:val="center"/>
          </w:tcPr>
          <w:p w:rsidR="0088754B" w:rsidRPr="004C6AA3" w:rsidRDefault="0088754B" w:rsidP="004C6AA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C6AA3">
              <w:rPr>
                <w:rFonts w:ascii="Times New Roman" w:eastAsia="標楷體" w:hAnsi="Times New Roman" w:cs="Times New Roman"/>
              </w:rPr>
              <w:t>項次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88754B" w:rsidRPr="004C6AA3" w:rsidRDefault="0088754B" w:rsidP="004C6AA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C6AA3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8754B" w:rsidRPr="004C6AA3" w:rsidRDefault="0088754B" w:rsidP="004C6AA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C6AA3">
              <w:rPr>
                <w:rFonts w:ascii="Times New Roman" w:eastAsia="標楷體" w:hAnsi="Times New Roman" w:cs="Times New Roman"/>
              </w:rPr>
              <w:t>單價</w:t>
            </w:r>
            <w:r w:rsidRPr="004C6AA3">
              <w:rPr>
                <w:rFonts w:ascii="Times New Roman" w:eastAsia="標楷體" w:hAnsi="Times New Roman" w:cs="Times New Roman"/>
              </w:rPr>
              <w:t>(</w:t>
            </w:r>
            <w:r w:rsidRPr="004C6AA3">
              <w:rPr>
                <w:rFonts w:ascii="Times New Roman" w:eastAsia="標楷體" w:hAnsi="Times New Roman" w:cs="Times New Roman"/>
              </w:rPr>
              <w:t>元</w:t>
            </w:r>
            <w:r w:rsidRPr="004C6AA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8754B" w:rsidRPr="004C6AA3" w:rsidRDefault="0088754B" w:rsidP="004C6AA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C6AA3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754B" w:rsidRPr="004C6AA3" w:rsidRDefault="0088754B" w:rsidP="004C6AA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C6AA3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754B" w:rsidRPr="004C6AA3" w:rsidRDefault="0088754B" w:rsidP="004C6AA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C6AA3">
              <w:rPr>
                <w:rFonts w:ascii="Times New Roman" w:eastAsia="標楷體" w:hAnsi="Times New Roman" w:cs="Times New Roman"/>
              </w:rPr>
              <w:t>小計</w:t>
            </w:r>
          </w:p>
        </w:tc>
        <w:tc>
          <w:tcPr>
            <w:tcW w:w="1360" w:type="dxa"/>
          </w:tcPr>
          <w:p w:rsidR="0088754B" w:rsidRPr="004C6AA3" w:rsidRDefault="0088754B" w:rsidP="004C6AA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C6AA3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4C6AA3" w:rsidRPr="000E5A77" w:rsidTr="004C6AA3">
        <w:trPr>
          <w:trHeight w:val="455"/>
        </w:trPr>
        <w:tc>
          <w:tcPr>
            <w:tcW w:w="709" w:type="dxa"/>
            <w:shd w:val="clear" w:color="auto" w:fill="auto"/>
            <w:vAlign w:val="center"/>
          </w:tcPr>
          <w:p w:rsidR="004C6AA3" w:rsidRPr="004C6AA3" w:rsidRDefault="004C6AA3" w:rsidP="004C6AA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C6AA3">
              <w:rPr>
                <w:rFonts w:ascii="Times New Roman" w:eastAsia="標楷體" w:hAnsi="Times New Roman" w:cs="Times New Roman"/>
              </w:rPr>
              <w:t>01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4C6AA3" w:rsidRPr="004C6AA3" w:rsidRDefault="004C6AA3" w:rsidP="00C716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多元入學輔導紀錄</w:t>
            </w:r>
            <w:r w:rsidRPr="004C6AA3">
              <w:rPr>
                <w:rFonts w:ascii="Times New Roman" w:eastAsia="標楷體" w:hAnsi="Times New Roman" w:cs="Times New Roman"/>
              </w:rPr>
              <w:t>手冊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C6AA3" w:rsidRPr="004C6AA3" w:rsidRDefault="004C6AA3" w:rsidP="00C716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4C6AA3" w:rsidRPr="004C6AA3" w:rsidRDefault="004C6AA3" w:rsidP="00C716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C6AA3">
              <w:rPr>
                <w:rFonts w:ascii="Times New Roman" w:eastAsia="標楷體" w:hAnsi="Times New Roman" w:cs="Times New Roman"/>
              </w:rPr>
              <w:t>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AA3" w:rsidRPr="004C6AA3" w:rsidRDefault="004C6AA3" w:rsidP="00C716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AA3" w:rsidRPr="004C6AA3" w:rsidRDefault="004C6AA3" w:rsidP="00C716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/>
              </w:rPr>
              <w:t>,</w:t>
            </w:r>
            <w:r>
              <w:rPr>
                <w:rFonts w:ascii="Times New Roman" w:eastAsia="標楷體" w:hAnsi="Times New Roman" w:cs="Times New Roman" w:hint="eastAsia"/>
              </w:rPr>
              <w:t>75</w:t>
            </w:r>
            <w:r w:rsidRPr="004C6AA3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4C6AA3" w:rsidRPr="004C6AA3" w:rsidRDefault="004C6AA3" w:rsidP="004C6AA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C6AA3" w:rsidRPr="000E5A77" w:rsidTr="004C6AA3">
        <w:tc>
          <w:tcPr>
            <w:tcW w:w="8080" w:type="dxa"/>
            <w:gridSpan w:val="6"/>
            <w:shd w:val="clear" w:color="auto" w:fill="auto"/>
            <w:vAlign w:val="center"/>
          </w:tcPr>
          <w:p w:rsidR="004C6AA3" w:rsidRPr="004C6AA3" w:rsidRDefault="004C6AA3" w:rsidP="004C6AA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C6AA3">
              <w:rPr>
                <w:rFonts w:ascii="Times New Roman" w:eastAsia="標楷體" w:hAnsi="Times New Roman" w:cs="Times New Roman"/>
              </w:rPr>
              <w:t>合計　新臺幣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/>
              </w:rPr>
              <w:t>,</w:t>
            </w:r>
            <w:r>
              <w:rPr>
                <w:rFonts w:ascii="Times New Roman" w:eastAsia="標楷體" w:hAnsi="Times New Roman" w:cs="Times New Roman" w:hint="eastAsia"/>
              </w:rPr>
              <w:t>75</w:t>
            </w:r>
            <w:r w:rsidRPr="004C6AA3">
              <w:rPr>
                <w:rFonts w:ascii="Times New Roman" w:eastAsia="標楷體" w:hAnsi="Times New Roman" w:cs="Times New Roman"/>
              </w:rPr>
              <w:t>0</w:t>
            </w:r>
            <w:r w:rsidRPr="004C6AA3">
              <w:rPr>
                <w:rFonts w:ascii="Times New Roman" w:eastAsia="標楷體" w:hAnsi="Times New Roman" w:cs="Times New Roman"/>
              </w:rPr>
              <w:t>元</w:t>
            </w:r>
            <w:r w:rsidRPr="004C6AA3">
              <w:rPr>
                <w:rFonts w:ascii="Times New Roman" w:eastAsia="標楷體" w:hAnsi="Times New Roman" w:cs="Times New Roman"/>
              </w:rPr>
              <w:t xml:space="preserve"> </w:t>
            </w:r>
            <w:r w:rsidRPr="004C6AA3">
              <w:rPr>
                <w:rFonts w:ascii="Times New Roman" w:eastAsia="標楷體" w:hAnsi="Times New Roman" w:cs="Times New Roman"/>
              </w:rPr>
              <w:t>整</w:t>
            </w:r>
          </w:p>
        </w:tc>
        <w:tc>
          <w:tcPr>
            <w:tcW w:w="1360" w:type="dxa"/>
          </w:tcPr>
          <w:p w:rsidR="004C6AA3" w:rsidRPr="004C6AA3" w:rsidRDefault="004C6AA3" w:rsidP="004C6AA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88754B" w:rsidRDefault="0088754B" w:rsidP="003C5DE1">
      <w:pPr>
        <w:rPr>
          <w:rFonts w:ascii="標楷體" w:eastAsia="標楷體" w:hAnsi="標楷體"/>
          <w:szCs w:val="24"/>
        </w:rPr>
      </w:pPr>
    </w:p>
    <w:p w:rsidR="00095292" w:rsidRDefault="00095292" w:rsidP="003C5DE1">
      <w:pPr>
        <w:rPr>
          <w:rFonts w:ascii="標楷體" w:eastAsia="標楷體" w:hAnsi="標楷體"/>
          <w:szCs w:val="24"/>
        </w:rPr>
        <w:sectPr w:rsidR="00095292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EF552B" w:rsidRDefault="0088754B" w:rsidP="003C5D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八、</w:t>
      </w:r>
      <w:r w:rsidR="008B3B52" w:rsidRPr="008B3B52">
        <w:rPr>
          <w:rFonts w:ascii="標楷體" w:eastAsia="標楷體" w:hAnsi="標楷體" w:hint="eastAsia"/>
          <w:szCs w:val="24"/>
        </w:rPr>
        <w:t>本計畫陳 校長核定後實施，修正時亦同。</w:t>
      </w:r>
    </w:p>
    <w:p w:rsidR="004C6AA3" w:rsidRDefault="004C6AA3" w:rsidP="003C5DE1">
      <w:pPr>
        <w:rPr>
          <w:rFonts w:ascii="標楷體" w:eastAsia="標楷體" w:hAnsi="標楷體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3075"/>
        <w:gridCol w:w="2793"/>
      </w:tblGrid>
      <w:tr w:rsidR="004C6AA3" w:rsidTr="00C716C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AA3" w:rsidRPr="004C6AA3" w:rsidRDefault="004C6AA3" w:rsidP="00C716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C6AA3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  <w:p w:rsidR="004C6AA3" w:rsidRPr="004C6AA3" w:rsidRDefault="004C6AA3" w:rsidP="00C71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AA3" w:rsidRPr="004C6AA3" w:rsidRDefault="004C6AA3" w:rsidP="00C716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C6AA3">
              <w:rPr>
                <w:rFonts w:ascii="標楷體" w:eastAsia="標楷體" w:hAnsi="標楷體" w:hint="eastAsia"/>
                <w:sz w:val="28"/>
                <w:szCs w:val="28"/>
              </w:rPr>
              <w:t>會辦</w:t>
            </w:r>
          </w:p>
          <w:p w:rsidR="004C6AA3" w:rsidRPr="004C6AA3" w:rsidRDefault="004C6AA3" w:rsidP="00C716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C6AA3">
              <w:rPr>
                <w:rFonts w:ascii="標楷體" w:eastAsia="標楷體" w:hAnsi="標楷體" w:hint="eastAsia"/>
                <w:sz w:val="28"/>
                <w:szCs w:val="28"/>
              </w:rPr>
              <w:t>教務處：</w:t>
            </w:r>
          </w:p>
          <w:p w:rsidR="004C6AA3" w:rsidRPr="004C6AA3" w:rsidRDefault="004C6AA3" w:rsidP="00C716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C6AA3">
              <w:rPr>
                <w:rFonts w:ascii="標楷體" w:eastAsia="標楷體" w:hAnsi="標楷體" w:hint="eastAsia"/>
                <w:sz w:val="28"/>
                <w:szCs w:val="28"/>
              </w:rPr>
              <w:t>總務處：</w:t>
            </w:r>
          </w:p>
          <w:p w:rsidR="004C6AA3" w:rsidRPr="004C6AA3" w:rsidRDefault="004C6AA3" w:rsidP="00C716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C6AA3">
              <w:rPr>
                <w:rFonts w:ascii="標楷體" w:eastAsia="標楷體" w:hAnsi="標楷體" w:hint="eastAsia"/>
                <w:sz w:val="28"/>
                <w:szCs w:val="28"/>
              </w:rPr>
              <w:t>會計室：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AA3" w:rsidRPr="004C6AA3" w:rsidRDefault="004C6AA3" w:rsidP="00C716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C6AA3">
              <w:rPr>
                <w:rFonts w:ascii="標楷體" w:eastAsia="標楷體" w:hAnsi="標楷體" w:hint="eastAsia"/>
                <w:sz w:val="28"/>
                <w:szCs w:val="28"/>
              </w:rPr>
              <w:t>決行</w:t>
            </w:r>
          </w:p>
        </w:tc>
      </w:tr>
    </w:tbl>
    <w:p w:rsidR="004C6AA3" w:rsidRPr="008B3B52" w:rsidRDefault="004C6AA3" w:rsidP="003C5DE1">
      <w:pPr>
        <w:rPr>
          <w:rFonts w:ascii="標楷體" w:eastAsia="標楷體" w:hAnsi="標楷體"/>
          <w:szCs w:val="24"/>
        </w:rPr>
      </w:pPr>
    </w:p>
    <w:sectPr w:rsidR="004C6AA3" w:rsidRPr="008B3B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03" w:rsidRDefault="009C6503" w:rsidP="00BD3E3B">
      <w:r>
        <w:separator/>
      </w:r>
    </w:p>
  </w:endnote>
  <w:endnote w:type="continuationSeparator" w:id="0">
    <w:p w:rsidR="009C6503" w:rsidRDefault="009C6503" w:rsidP="00BD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03" w:rsidRDefault="009C6503" w:rsidP="00BD3E3B">
      <w:r>
        <w:separator/>
      </w:r>
    </w:p>
  </w:footnote>
  <w:footnote w:type="continuationSeparator" w:id="0">
    <w:p w:rsidR="009C6503" w:rsidRDefault="009C6503" w:rsidP="00BD3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CA8"/>
    <w:multiLevelType w:val="hybridMultilevel"/>
    <w:tmpl w:val="6088D1C8"/>
    <w:lvl w:ilvl="0" w:tplc="C592F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9265DC"/>
    <w:multiLevelType w:val="hybridMultilevel"/>
    <w:tmpl w:val="17B25DD0"/>
    <w:lvl w:ilvl="0" w:tplc="1C0AF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2D0585"/>
    <w:multiLevelType w:val="hybridMultilevel"/>
    <w:tmpl w:val="CC0A280A"/>
    <w:lvl w:ilvl="0" w:tplc="9A38E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024727"/>
    <w:multiLevelType w:val="hybridMultilevel"/>
    <w:tmpl w:val="70EC96F4"/>
    <w:lvl w:ilvl="0" w:tplc="C592F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8B6694"/>
    <w:multiLevelType w:val="hybridMultilevel"/>
    <w:tmpl w:val="FDE03466"/>
    <w:lvl w:ilvl="0" w:tplc="9BB2A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22"/>
    <w:rsid w:val="000350BE"/>
    <w:rsid w:val="000557EF"/>
    <w:rsid w:val="00065A57"/>
    <w:rsid w:val="00095292"/>
    <w:rsid w:val="000A7249"/>
    <w:rsid w:val="000F0BC3"/>
    <w:rsid w:val="001D57FF"/>
    <w:rsid w:val="001E3C0E"/>
    <w:rsid w:val="00224155"/>
    <w:rsid w:val="00225D22"/>
    <w:rsid w:val="002654C8"/>
    <w:rsid w:val="0028175D"/>
    <w:rsid w:val="002951F5"/>
    <w:rsid w:val="002D36B7"/>
    <w:rsid w:val="00301AD8"/>
    <w:rsid w:val="00304798"/>
    <w:rsid w:val="003211D0"/>
    <w:rsid w:val="00397C2D"/>
    <w:rsid w:val="003A61D4"/>
    <w:rsid w:val="003C4B94"/>
    <w:rsid w:val="003C5DE1"/>
    <w:rsid w:val="004177F8"/>
    <w:rsid w:val="00420344"/>
    <w:rsid w:val="004578C8"/>
    <w:rsid w:val="004C6AA3"/>
    <w:rsid w:val="004F5C0B"/>
    <w:rsid w:val="00522A7A"/>
    <w:rsid w:val="00555AD6"/>
    <w:rsid w:val="005B1CB2"/>
    <w:rsid w:val="00604AE2"/>
    <w:rsid w:val="00650165"/>
    <w:rsid w:val="006B7786"/>
    <w:rsid w:val="006E2400"/>
    <w:rsid w:val="00801BBC"/>
    <w:rsid w:val="00820ADB"/>
    <w:rsid w:val="008263DF"/>
    <w:rsid w:val="0088754B"/>
    <w:rsid w:val="008928B4"/>
    <w:rsid w:val="008A1D47"/>
    <w:rsid w:val="008B1172"/>
    <w:rsid w:val="008B3B52"/>
    <w:rsid w:val="008E25BE"/>
    <w:rsid w:val="008E2F97"/>
    <w:rsid w:val="009057CA"/>
    <w:rsid w:val="00937E09"/>
    <w:rsid w:val="009622A9"/>
    <w:rsid w:val="009A7C80"/>
    <w:rsid w:val="009C6503"/>
    <w:rsid w:val="009D672F"/>
    <w:rsid w:val="00A5251E"/>
    <w:rsid w:val="00A5587D"/>
    <w:rsid w:val="00A7797F"/>
    <w:rsid w:val="00AB120A"/>
    <w:rsid w:val="00AC0293"/>
    <w:rsid w:val="00AE2C67"/>
    <w:rsid w:val="00AE50D4"/>
    <w:rsid w:val="00B45C3E"/>
    <w:rsid w:val="00B60ECE"/>
    <w:rsid w:val="00BD3E3B"/>
    <w:rsid w:val="00BE083E"/>
    <w:rsid w:val="00C94CB0"/>
    <w:rsid w:val="00C97B42"/>
    <w:rsid w:val="00CB73EA"/>
    <w:rsid w:val="00CD1BF0"/>
    <w:rsid w:val="00D03896"/>
    <w:rsid w:val="00E5161D"/>
    <w:rsid w:val="00E84403"/>
    <w:rsid w:val="00E862DD"/>
    <w:rsid w:val="00EF552B"/>
    <w:rsid w:val="00F06C10"/>
    <w:rsid w:val="00F669E3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3E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3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3E3B"/>
    <w:rPr>
      <w:sz w:val="20"/>
      <w:szCs w:val="20"/>
    </w:rPr>
  </w:style>
  <w:style w:type="table" w:styleId="a7">
    <w:name w:val="Table Grid"/>
    <w:basedOn w:val="a1"/>
    <w:uiPriority w:val="59"/>
    <w:rsid w:val="00B4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2C6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95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952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3E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3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3E3B"/>
    <w:rPr>
      <w:sz w:val="20"/>
      <w:szCs w:val="20"/>
    </w:rPr>
  </w:style>
  <w:style w:type="table" w:styleId="a7">
    <w:name w:val="Table Grid"/>
    <w:basedOn w:val="a1"/>
    <w:uiPriority w:val="59"/>
    <w:rsid w:val="00B4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2C6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95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952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5E59-F7D9-4ECE-B973-2E3A2282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2017-10-13T05:21:00Z</cp:lastPrinted>
  <dcterms:created xsi:type="dcterms:W3CDTF">2017-10-16T07:02:00Z</dcterms:created>
  <dcterms:modified xsi:type="dcterms:W3CDTF">2017-10-16T07:02:00Z</dcterms:modified>
</cp:coreProperties>
</file>