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3F1" w:rsidRPr="00A674CE" w:rsidRDefault="00A674CE" w:rsidP="00A674CE">
      <w:pPr>
        <w:spacing w:line="360" w:lineRule="auto"/>
        <w:jc w:val="center"/>
        <w:rPr>
          <w:rFonts w:ascii="標楷體" w:eastAsia="標楷體" w:hAnsi="標楷體"/>
          <w:b/>
          <w:sz w:val="28"/>
          <w:szCs w:val="28"/>
        </w:rPr>
      </w:pPr>
      <w:r w:rsidRPr="00A674CE">
        <w:rPr>
          <w:rFonts w:ascii="標楷體" w:eastAsia="標楷體" w:hAnsi="標楷體" w:hint="eastAsia"/>
          <w:b/>
          <w:sz w:val="28"/>
          <w:szCs w:val="28"/>
        </w:rPr>
        <w:t>彰化縣立和美高中多元評量作品</w:t>
      </w:r>
    </w:p>
    <w:p w:rsidR="00A674CE" w:rsidRDefault="00A674CE" w:rsidP="00A674CE">
      <w:pPr>
        <w:spacing w:line="360" w:lineRule="auto"/>
        <w:rPr>
          <w:rFonts w:ascii="標楷體" w:eastAsia="標楷體" w:hAnsi="標楷體"/>
          <w:sz w:val="28"/>
          <w:szCs w:val="28"/>
          <w:u w:val="single"/>
        </w:rPr>
      </w:pPr>
      <w:r w:rsidRPr="00A674CE">
        <w:rPr>
          <w:rFonts w:ascii="標楷體" w:eastAsia="標楷體" w:hAnsi="標楷體" w:hint="eastAsia"/>
          <w:sz w:val="28"/>
          <w:szCs w:val="28"/>
          <w:u w:val="single"/>
        </w:rPr>
        <w:t>103</w:t>
      </w:r>
      <w:r w:rsidRPr="00A674CE">
        <w:rPr>
          <w:rFonts w:ascii="標楷體" w:eastAsia="標楷體" w:hAnsi="標楷體" w:hint="eastAsia"/>
          <w:sz w:val="28"/>
          <w:szCs w:val="28"/>
        </w:rPr>
        <w:t>學年度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674CE">
        <w:rPr>
          <w:rFonts w:ascii="標楷體" w:eastAsia="標楷體" w:hAnsi="標楷體" w:hint="eastAsia"/>
          <w:sz w:val="28"/>
          <w:szCs w:val="28"/>
        </w:rPr>
        <w:t xml:space="preserve">  第</w:t>
      </w:r>
      <w:r w:rsidRPr="00A674CE">
        <w:rPr>
          <w:rFonts w:ascii="標楷體" w:eastAsia="標楷體" w:hAnsi="標楷體" w:hint="eastAsia"/>
          <w:sz w:val="28"/>
          <w:szCs w:val="28"/>
          <w:u w:val="single"/>
        </w:rPr>
        <w:t>二</w:t>
      </w:r>
      <w:r w:rsidRPr="00A674CE">
        <w:rPr>
          <w:rFonts w:ascii="標楷體" w:eastAsia="標楷體" w:hAnsi="標楷體" w:hint="eastAsia"/>
          <w:sz w:val="28"/>
          <w:szCs w:val="28"/>
        </w:rPr>
        <w:t xml:space="preserve">學期 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674CE">
        <w:rPr>
          <w:rFonts w:ascii="標楷體" w:eastAsia="標楷體" w:hAnsi="標楷體" w:hint="eastAsia"/>
          <w:sz w:val="28"/>
          <w:szCs w:val="28"/>
          <w:u w:val="single"/>
        </w:rPr>
        <w:t>語文</w:t>
      </w:r>
      <w:r w:rsidRPr="00A674CE">
        <w:rPr>
          <w:rFonts w:ascii="標楷體" w:eastAsia="標楷體" w:hAnsi="標楷體" w:hint="eastAsia"/>
          <w:sz w:val="28"/>
          <w:szCs w:val="28"/>
        </w:rPr>
        <w:t>領域</w:t>
      </w:r>
      <w:r w:rsidRPr="00A674CE">
        <w:rPr>
          <w:rFonts w:ascii="標楷體" w:eastAsia="標楷體" w:hAnsi="標楷體" w:hint="eastAsia"/>
          <w:sz w:val="28"/>
          <w:szCs w:val="28"/>
          <w:u w:val="single"/>
        </w:rPr>
        <w:t>英文科</w:t>
      </w:r>
      <w:r w:rsidRPr="00A674CE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674CE">
        <w:rPr>
          <w:rFonts w:ascii="標楷體" w:eastAsia="標楷體" w:hAnsi="標楷體" w:hint="eastAsia"/>
          <w:sz w:val="28"/>
          <w:szCs w:val="28"/>
        </w:rPr>
        <w:t>設計者：</w:t>
      </w:r>
      <w:r w:rsidRPr="00A674CE">
        <w:rPr>
          <w:rFonts w:ascii="標楷體" w:eastAsia="標楷體" w:hAnsi="標楷體" w:hint="eastAsia"/>
          <w:sz w:val="28"/>
          <w:szCs w:val="28"/>
          <w:u w:val="single"/>
        </w:rPr>
        <w:t>林蕙英</w:t>
      </w:r>
    </w:p>
    <w:p w:rsidR="00A674CE" w:rsidRPr="009A13CF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壹、方案名稱：</w:t>
      </w:r>
      <w:r w:rsidR="00BD6665" w:rsidRPr="00BD6665">
        <w:rPr>
          <w:rFonts w:ascii="標楷體" w:eastAsia="標楷體" w:hAnsi="標楷體" w:hint="eastAsia"/>
          <w:sz w:val="28"/>
          <w:szCs w:val="28"/>
        </w:rPr>
        <w:t>真實英文評評看</w:t>
      </w:r>
    </w:p>
    <w:p w:rsidR="00A674CE" w:rsidRPr="009A13CF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貳、評量內容</w:t>
      </w:r>
    </w:p>
    <w:p w:rsidR="00A674CE" w:rsidRDefault="00A674CE" w:rsidP="00A674CE">
      <w:pPr>
        <w:spacing w:line="360" w:lineRule="auto"/>
        <w:rPr>
          <w:rFonts w:ascii="標楷體" w:eastAsia="標楷體" w:hAnsi="標楷體"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一、主題：</w:t>
      </w:r>
      <w:r w:rsidRPr="009A13CF">
        <w:rPr>
          <w:rFonts w:ascii="標楷體" w:eastAsia="標楷體" w:hAnsi="標楷體" w:hint="eastAsia"/>
          <w:szCs w:val="24"/>
        </w:rPr>
        <w:t>活化教科書英語</w:t>
      </w:r>
    </w:p>
    <w:p w:rsidR="00A674CE" w:rsidRPr="009A13CF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二、設計理念</w:t>
      </w:r>
    </w:p>
    <w:p w:rsidR="00A674CE" w:rsidRPr="009A13CF" w:rsidRDefault="00A674CE" w:rsidP="001134AD">
      <w:pPr>
        <w:spacing w:line="360" w:lineRule="auto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A13CF">
        <w:rPr>
          <w:rFonts w:ascii="標楷體" w:eastAsia="標楷體" w:hAnsi="標楷體" w:hint="eastAsia"/>
          <w:szCs w:val="24"/>
        </w:rPr>
        <w:t>本方案的設計理念立基於以下三大</w:t>
      </w:r>
      <w:r w:rsidR="009A13CF" w:rsidRPr="009A13CF">
        <w:rPr>
          <w:rFonts w:ascii="標楷體" w:eastAsia="標楷體" w:hAnsi="標楷體" w:hint="eastAsia"/>
          <w:szCs w:val="24"/>
        </w:rPr>
        <w:t>概念。第一，以口說評量的方式取代傳統的紙筆測驗，讓學生創造真實運用語言的機會，進而習得英語句子運用的方式。第二，以分組的概念讓組員皆能發揮所長，</w:t>
      </w:r>
      <w:r w:rsidR="001134AD">
        <w:rPr>
          <w:rFonts w:ascii="標楷體" w:eastAsia="標楷體" w:hAnsi="標楷體" w:hint="eastAsia"/>
          <w:szCs w:val="24"/>
        </w:rPr>
        <w:t>並讓學生有相互學習的時間，評量的同時亦達到學習的效果。最後，試圖將聽說讀寫四個技能統合評定，讓評量的方式更為接近真實的英文</w:t>
      </w:r>
      <w:r w:rsidR="001134AD" w:rsidRPr="001134AD">
        <w:rPr>
          <w:rFonts w:ascii="Times New Roman" w:eastAsia="標楷體" w:hAnsi="標楷體" w:cs="Times New Roman"/>
          <w:szCs w:val="24"/>
        </w:rPr>
        <w:t>（</w:t>
      </w:r>
      <w:r w:rsidR="001134AD" w:rsidRPr="001134AD">
        <w:rPr>
          <w:rFonts w:ascii="Times New Roman" w:eastAsia="標楷體" w:hAnsi="Times New Roman" w:cs="Times New Roman"/>
          <w:szCs w:val="24"/>
        </w:rPr>
        <w:t>authentic English</w:t>
      </w:r>
      <w:r w:rsidR="001134AD" w:rsidRPr="001134AD">
        <w:rPr>
          <w:rFonts w:ascii="Times New Roman" w:eastAsia="標楷體" w:hAnsi="標楷體" w:cs="Times New Roman"/>
          <w:szCs w:val="24"/>
        </w:rPr>
        <w:t>）</w:t>
      </w:r>
      <w:r w:rsidR="00B10DBE">
        <w:rPr>
          <w:rFonts w:ascii="Times New Roman" w:eastAsia="標楷體" w:hAnsi="標楷體" w:cs="Times New Roman"/>
          <w:szCs w:val="24"/>
        </w:rPr>
        <w:t>，</w:t>
      </w:r>
      <w:r w:rsidR="00B10DBE">
        <w:rPr>
          <w:rFonts w:ascii="Times New Roman" w:eastAsia="標楷體" w:hAnsi="標楷體" w:cs="Times New Roman" w:hint="eastAsia"/>
          <w:szCs w:val="24"/>
        </w:rPr>
        <w:t>亦讓學生能把教科書的英文與現實生活連結</w:t>
      </w:r>
      <w:r w:rsidR="001134AD">
        <w:rPr>
          <w:rFonts w:ascii="標楷體" w:eastAsia="標楷體" w:hAnsi="標楷體" w:hint="eastAsia"/>
          <w:szCs w:val="24"/>
        </w:rPr>
        <w:t>。</w:t>
      </w:r>
    </w:p>
    <w:p w:rsidR="00A674CE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三、評量內容說明</w:t>
      </w:r>
    </w:p>
    <w:p w:rsidR="001134AD" w:rsidRDefault="001134AD" w:rsidP="00A674CE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</w:t>
      </w:r>
      <w:r w:rsidRPr="001134AD">
        <w:rPr>
          <w:rFonts w:ascii="標楷體" w:eastAsia="標楷體" w:hAnsi="標楷體" w:hint="eastAsia"/>
          <w:szCs w:val="24"/>
        </w:rPr>
        <w:t>本方案分為兩個階段</w:t>
      </w:r>
      <w:r>
        <w:rPr>
          <w:rFonts w:ascii="標楷體" w:eastAsia="標楷體" w:hAnsi="標楷體" w:hint="eastAsia"/>
          <w:szCs w:val="24"/>
        </w:rPr>
        <w:t>，第一階段</w:t>
      </w:r>
      <w:r w:rsidR="00AF2494">
        <w:rPr>
          <w:rFonts w:ascii="標楷體" w:eastAsia="標楷體" w:hAnsi="標楷體" w:hint="eastAsia"/>
          <w:szCs w:val="24"/>
        </w:rPr>
        <w:t>為口說評量；第二階段為作業評量。</w:t>
      </w:r>
    </w:p>
    <w:tbl>
      <w:tblPr>
        <w:tblStyle w:val="a3"/>
        <w:tblW w:w="0" w:type="auto"/>
        <w:jc w:val="center"/>
        <w:tblLook w:val="04A0"/>
      </w:tblPr>
      <w:tblGrid>
        <w:gridCol w:w="4541"/>
        <w:gridCol w:w="4541"/>
      </w:tblGrid>
      <w:tr w:rsidR="00AF2494" w:rsidRPr="00AF2494" w:rsidTr="00AF2494">
        <w:trPr>
          <w:jc w:val="center"/>
        </w:trPr>
        <w:tc>
          <w:tcPr>
            <w:tcW w:w="4541" w:type="dxa"/>
          </w:tcPr>
          <w:p w:rsidR="00AF2494" w:rsidRPr="00AF2494" w:rsidRDefault="00AF2494" w:rsidP="00AF2494">
            <w:pPr>
              <w:spacing w:line="36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F2494">
              <w:rPr>
                <w:rFonts w:ascii="標楷體" w:eastAsia="標楷體" w:hAnsi="標楷體" w:hint="eastAsia"/>
                <w:b/>
                <w:szCs w:val="24"/>
              </w:rPr>
              <w:t>第一階段：口說評量</w:t>
            </w:r>
          </w:p>
        </w:tc>
        <w:tc>
          <w:tcPr>
            <w:tcW w:w="4541" w:type="dxa"/>
          </w:tcPr>
          <w:p w:rsidR="00AF2494" w:rsidRPr="00AF2494" w:rsidRDefault="00AF2494" w:rsidP="00AF2494">
            <w:pPr>
              <w:spacing w:line="36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AF2494">
              <w:rPr>
                <w:rFonts w:ascii="標楷體" w:eastAsia="標楷體" w:hAnsi="標楷體" w:hint="eastAsia"/>
                <w:b/>
                <w:szCs w:val="24"/>
              </w:rPr>
              <w:t>第二階段：作業評量</w:t>
            </w:r>
          </w:p>
        </w:tc>
      </w:tr>
      <w:tr w:rsidR="00AF2494" w:rsidRPr="00AF2494" w:rsidTr="00AF2494">
        <w:trPr>
          <w:jc w:val="center"/>
        </w:trPr>
        <w:tc>
          <w:tcPr>
            <w:tcW w:w="4541" w:type="dxa"/>
          </w:tcPr>
          <w:p w:rsidR="00AF2494" w:rsidRPr="00AF2494" w:rsidRDefault="00AF2494" w:rsidP="00AF249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F2494">
              <w:rPr>
                <w:rFonts w:ascii="標楷體" w:eastAsia="標楷體" w:hAnsi="標楷體" w:hint="eastAsia"/>
                <w:szCs w:val="24"/>
              </w:rPr>
              <w:t>總分：100分</w:t>
            </w:r>
          </w:p>
        </w:tc>
        <w:tc>
          <w:tcPr>
            <w:tcW w:w="4541" w:type="dxa"/>
          </w:tcPr>
          <w:p w:rsidR="00AF2494" w:rsidRPr="00AF2494" w:rsidRDefault="00AF2494" w:rsidP="00AF249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AF2494">
              <w:rPr>
                <w:rFonts w:ascii="標楷體" w:eastAsia="標楷體" w:hAnsi="標楷體" w:hint="eastAsia"/>
                <w:szCs w:val="24"/>
              </w:rPr>
              <w:t>總分：100分</w:t>
            </w:r>
          </w:p>
        </w:tc>
      </w:tr>
      <w:tr w:rsidR="00AF2494" w:rsidTr="00AF2494">
        <w:trPr>
          <w:jc w:val="center"/>
        </w:trPr>
        <w:tc>
          <w:tcPr>
            <w:tcW w:w="4541" w:type="dxa"/>
          </w:tcPr>
          <w:p w:rsidR="00AF2494" w:rsidRDefault="00AF2494" w:rsidP="00AF2494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口說編排內容 (50%)</w:t>
            </w:r>
          </w:p>
          <w:p w:rsidR="00AF2494" w:rsidRDefault="00AF2494" w:rsidP="00AF2494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流暢度 (30%)</w:t>
            </w:r>
          </w:p>
          <w:p w:rsidR="00AF2494" w:rsidRPr="00AF2494" w:rsidRDefault="00AF2494" w:rsidP="00AF2494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創意性 (20%)</w:t>
            </w:r>
          </w:p>
        </w:tc>
        <w:tc>
          <w:tcPr>
            <w:tcW w:w="4541" w:type="dxa"/>
          </w:tcPr>
          <w:p w:rsidR="00AF2494" w:rsidRDefault="00AF2494" w:rsidP="00AF2494">
            <w:pPr>
              <w:pStyle w:val="a4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對話適切性(50%)</w:t>
            </w:r>
          </w:p>
          <w:p w:rsidR="00AF2494" w:rsidRPr="00AF2494" w:rsidRDefault="00AF2494" w:rsidP="00AF2494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版面設計  (30%)</w:t>
            </w:r>
          </w:p>
          <w:p w:rsidR="00AF2494" w:rsidRPr="00AF2494" w:rsidRDefault="00AF2494" w:rsidP="00AF2494">
            <w:pPr>
              <w:pStyle w:val="a4"/>
              <w:numPr>
                <w:ilvl w:val="0"/>
                <w:numId w:val="2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創意性 (20%)</w:t>
            </w:r>
          </w:p>
        </w:tc>
      </w:tr>
    </w:tbl>
    <w:p w:rsidR="00A674CE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四、實施情形說明</w:t>
      </w:r>
    </w:p>
    <w:p w:rsidR="00AF2494" w:rsidRPr="00AF2494" w:rsidRDefault="00B10DBE" w:rsidP="00AF2494">
      <w:pPr>
        <w:spacing w:line="360" w:lineRule="auto"/>
        <w:ind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本方案的</w:t>
      </w:r>
      <w:r w:rsidR="00AF2494" w:rsidRPr="00AF2494">
        <w:rPr>
          <w:rFonts w:ascii="標楷體" w:eastAsia="標楷體" w:hAnsi="標楷體" w:hint="eastAsia"/>
          <w:szCs w:val="24"/>
        </w:rPr>
        <w:t>實施步驟如下：</w:t>
      </w:r>
    </w:p>
    <w:p w:rsidR="00AF2494" w:rsidRDefault="00AF2494" w:rsidP="00AF2494">
      <w:pPr>
        <w:pStyle w:val="a4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將學生分為七組，每組抽取</w:t>
      </w:r>
      <w:r w:rsidRPr="00B10DBE">
        <w:rPr>
          <w:rFonts w:ascii="Times New Roman" w:eastAsia="標楷體" w:hAnsi="Times New Roman" w:cs="Times New Roman"/>
          <w:szCs w:val="24"/>
        </w:rPr>
        <w:t>Book</w:t>
      </w:r>
      <w:r w:rsidR="00B10DBE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B10DBE">
        <w:rPr>
          <w:rFonts w:ascii="Times New Roman" w:eastAsia="標楷體" w:hAnsi="Times New Roman" w:cs="Times New Roman"/>
          <w:szCs w:val="24"/>
        </w:rPr>
        <w:t>2 Lesson 5</w:t>
      </w:r>
      <w:r>
        <w:rPr>
          <w:rFonts w:ascii="標楷體" w:eastAsia="標楷體" w:hAnsi="標楷體" w:hint="eastAsia"/>
          <w:szCs w:val="24"/>
        </w:rPr>
        <w:t>對話中的句子一句</w:t>
      </w:r>
      <w:r w:rsidR="00B10DBE">
        <w:rPr>
          <w:rFonts w:ascii="標楷體" w:eastAsia="標楷體" w:hAnsi="標楷體" w:hint="eastAsia"/>
          <w:szCs w:val="24"/>
        </w:rPr>
        <w:t>（康軒版英文第二</w:t>
      </w:r>
      <w:proofErr w:type="gramStart"/>
      <w:r w:rsidR="00B10DBE">
        <w:rPr>
          <w:rFonts w:ascii="標楷體" w:eastAsia="標楷體" w:hAnsi="標楷體" w:hint="eastAsia"/>
          <w:szCs w:val="24"/>
        </w:rPr>
        <w:t>冊</w:t>
      </w:r>
      <w:proofErr w:type="gramEnd"/>
      <w:r w:rsidR="00B10DBE">
        <w:rPr>
          <w:rFonts w:ascii="標楷體" w:eastAsia="標楷體" w:hAnsi="標楷體" w:hint="eastAsia"/>
          <w:szCs w:val="24"/>
        </w:rPr>
        <w:t>第60頁A大題）</w:t>
      </w:r>
    </w:p>
    <w:p w:rsidR="00AF2494" w:rsidRDefault="00AF2494" w:rsidP="00AF2494">
      <w:pPr>
        <w:pStyle w:val="a4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每組根據抽到的句子</w:t>
      </w:r>
      <w:r w:rsidR="00B10DBE">
        <w:rPr>
          <w:rFonts w:ascii="標楷體" w:eastAsia="標楷體" w:hAnsi="標楷體" w:hint="eastAsia"/>
          <w:szCs w:val="24"/>
        </w:rPr>
        <w:t>作為對話發想的開始，並創造出</w:t>
      </w:r>
      <w:r>
        <w:rPr>
          <w:rFonts w:ascii="標楷體" w:eastAsia="標楷體" w:hAnsi="標楷體" w:hint="eastAsia"/>
          <w:szCs w:val="24"/>
        </w:rPr>
        <w:t>一篇對話</w:t>
      </w:r>
    </w:p>
    <w:p w:rsidR="00AF2494" w:rsidRDefault="00B10DBE" w:rsidP="00AF2494">
      <w:pPr>
        <w:pStyle w:val="a4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每組以演戲的方式將創作</w:t>
      </w:r>
      <w:r w:rsidR="00AF2494">
        <w:rPr>
          <w:rFonts w:ascii="標楷體" w:eastAsia="標楷體" w:hAnsi="標楷體" w:hint="eastAsia"/>
          <w:szCs w:val="24"/>
        </w:rPr>
        <w:t>的對話演出</w:t>
      </w:r>
    </w:p>
    <w:p w:rsidR="00AF2494" w:rsidRPr="00AF2494" w:rsidRDefault="00B10DBE" w:rsidP="00A674CE">
      <w:pPr>
        <w:pStyle w:val="a4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每組演出之後，把演出的</w:t>
      </w:r>
      <w:r w:rsidR="00AF2494">
        <w:rPr>
          <w:rFonts w:ascii="標楷體" w:eastAsia="標楷體" w:hAnsi="標楷體" w:hint="eastAsia"/>
          <w:szCs w:val="24"/>
        </w:rPr>
        <w:t>對話畫成四格漫畫</w:t>
      </w:r>
    </w:p>
    <w:p w:rsidR="00AF2494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五、評量成果</w:t>
      </w:r>
    </w:p>
    <w:p w:rsidR="00AF2494" w:rsidRDefault="00AF2494" w:rsidP="00A674CE">
      <w:pPr>
        <w:spacing w:line="360" w:lineRule="auto"/>
        <w:rPr>
          <w:rFonts w:ascii="標楷體" w:eastAsia="標楷體" w:hAnsi="標楷體"/>
          <w:szCs w:val="24"/>
        </w:rPr>
      </w:pPr>
      <w:r w:rsidRPr="00316DEC">
        <w:rPr>
          <w:rFonts w:ascii="標楷體" w:eastAsia="標楷體" w:hAnsi="標楷體" w:hint="eastAsia"/>
          <w:szCs w:val="24"/>
        </w:rPr>
        <w:t xml:space="preserve">1. </w:t>
      </w:r>
      <w:r w:rsidR="00B10DBE">
        <w:rPr>
          <w:rFonts w:ascii="標楷體" w:eastAsia="標楷體" w:hAnsi="標楷體" w:hint="eastAsia"/>
          <w:szCs w:val="24"/>
        </w:rPr>
        <w:t>每組學生演出創作</w:t>
      </w:r>
      <w:r w:rsidRPr="00316DEC">
        <w:rPr>
          <w:rFonts w:ascii="標楷體" w:eastAsia="標楷體" w:hAnsi="標楷體" w:hint="eastAsia"/>
          <w:szCs w:val="24"/>
        </w:rPr>
        <w:t>的對話</w:t>
      </w:r>
    </w:p>
    <w:tbl>
      <w:tblPr>
        <w:tblStyle w:val="a3"/>
        <w:tblW w:w="0" w:type="auto"/>
        <w:tblLook w:val="04A0"/>
      </w:tblPr>
      <w:tblGrid>
        <w:gridCol w:w="9082"/>
      </w:tblGrid>
      <w:tr w:rsidR="00DB768B" w:rsidTr="00DB768B">
        <w:tc>
          <w:tcPr>
            <w:tcW w:w="9082" w:type="dxa"/>
          </w:tcPr>
          <w:p w:rsidR="00DB768B" w:rsidRDefault="00DB768B" w:rsidP="00DB768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DB768B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4686190" cy="2679590"/>
                  <wp:effectExtent l="19050" t="0" r="11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240" t="4938" r="10988" b="1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190" cy="267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68B" w:rsidTr="00DB768B">
        <w:tc>
          <w:tcPr>
            <w:tcW w:w="9082" w:type="dxa"/>
          </w:tcPr>
          <w:p w:rsidR="00DB768B" w:rsidRDefault="00DB768B" w:rsidP="00DB768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DB768B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4810263" cy="3037399"/>
                  <wp:effectExtent l="19050" t="0" r="9387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1870" r="4243" b="5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263" cy="303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494" w:rsidRPr="00316DEC" w:rsidRDefault="00AF2494" w:rsidP="00A674CE">
      <w:pPr>
        <w:spacing w:line="360" w:lineRule="auto"/>
        <w:rPr>
          <w:rFonts w:ascii="標楷體" w:eastAsia="標楷體" w:hAnsi="標楷體"/>
          <w:szCs w:val="24"/>
        </w:rPr>
      </w:pPr>
      <w:r w:rsidRPr="00316DEC">
        <w:rPr>
          <w:rFonts w:ascii="標楷體" w:eastAsia="標楷體" w:hAnsi="標楷體" w:hint="eastAsia"/>
          <w:szCs w:val="24"/>
        </w:rPr>
        <w:t>2.每組學生</w:t>
      </w:r>
      <w:r w:rsidR="00316DEC" w:rsidRPr="00316DEC">
        <w:rPr>
          <w:rFonts w:ascii="標楷體" w:eastAsia="標楷體" w:hAnsi="標楷體" w:hint="eastAsia"/>
          <w:szCs w:val="24"/>
        </w:rPr>
        <w:t>的四格漫畫作品(如附</w:t>
      </w:r>
      <w:r w:rsidR="00B10DBE">
        <w:rPr>
          <w:rFonts w:ascii="標楷體" w:eastAsia="標楷體" w:hAnsi="標楷體" w:hint="eastAsia"/>
          <w:szCs w:val="24"/>
        </w:rPr>
        <w:t>件</w:t>
      </w:r>
      <w:r w:rsidR="00316DEC" w:rsidRPr="00316DEC">
        <w:rPr>
          <w:rFonts w:ascii="標楷體" w:eastAsia="標楷體" w:hAnsi="標楷體" w:hint="eastAsia"/>
          <w:szCs w:val="24"/>
        </w:rPr>
        <w:t>)</w:t>
      </w:r>
    </w:p>
    <w:p w:rsidR="00A674CE" w:rsidRDefault="00A674CE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9A13CF">
        <w:rPr>
          <w:rFonts w:ascii="標楷體" w:eastAsia="標楷體" w:hAnsi="標楷體" w:hint="eastAsia"/>
          <w:b/>
          <w:sz w:val="28"/>
          <w:szCs w:val="28"/>
        </w:rPr>
        <w:t>參、省思</w:t>
      </w:r>
    </w:p>
    <w:p w:rsidR="00296785" w:rsidRPr="00296785" w:rsidRDefault="00DB768B" w:rsidP="00A674CE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透過此次多元評量的實施，可以觀察到學生不同於以往的表現。首先，因為</w:t>
      </w:r>
      <w:r w:rsidR="00296785" w:rsidRPr="00296785">
        <w:rPr>
          <w:rFonts w:ascii="標楷體" w:eastAsia="標楷體" w:hAnsi="標楷體" w:hint="eastAsia"/>
          <w:szCs w:val="24"/>
        </w:rPr>
        <w:t>評量轉化成是審視學生是否能活用英文的機會</w:t>
      </w:r>
      <w:r>
        <w:rPr>
          <w:rFonts w:ascii="標楷體" w:eastAsia="標楷體" w:hAnsi="標楷體" w:hint="eastAsia"/>
          <w:szCs w:val="24"/>
        </w:rPr>
        <w:t>，學生較有興趣參與此方案，進而創作出許多令人</w:t>
      </w:r>
      <w:r>
        <w:rPr>
          <w:rFonts w:ascii="標楷體" w:eastAsia="標楷體" w:hAnsi="標楷體" w:hint="eastAsia"/>
          <w:szCs w:val="24"/>
        </w:rPr>
        <w:lastRenderedPageBreak/>
        <w:t>驚</w:t>
      </w:r>
      <w:proofErr w:type="gramStart"/>
      <w:r>
        <w:rPr>
          <w:rFonts w:ascii="標楷體" w:eastAsia="標楷體" w:hAnsi="標楷體" w:hint="eastAsia"/>
          <w:szCs w:val="24"/>
        </w:rPr>
        <w:t>艷</w:t>
      </w:r>
      <w:proofErr w:type="gramEnd"/>
      <w:r>
        <w:rPr>
          <w:rFonts w:ascii="標楷體" w:eastAsia="標楷體" w:hAnsi="標楷體" w:hint="eastAsia"/>
          <w:szCs w:val="24"/>
        </w:rPr>
        <w:t>的作品。除此之外，這樣的評量方式也</w:t>
      </w:r>
      <w:r w:rsidR="00296785" w:rsidRPr="00296785">
        <w:rPr>
          <w:rFonts w:ascii="標楷體" w:eastAsia="標楷體" w:hAnsi="標楷體" w:hint="eastAsia"/>
          <w:szCs w:val="24"/>
        </w:rPr>
        <w:t>降低傳統紙筆測驗所造成的壓力</w:t>
      </w:r>
      <w:r>
        <w:rPr>
          <w:rFonts w:ascii="標楷體" w:eastAsia="標楷體" w:hAnsi="標楷體" w:hint="eastAsia"/>
          <w:szCs w:val="24"/>
        </w:rPr>
        <w:t>，學生把此方案視為是一項活動，亦是一種團隊競賽，間接培養組員間團隊合作的默契。</w:t>
      </w:r>
      <w:r w:rsidR="00B10DBE">
        <w:rPr>
          <w:rFonts w:ascii="標楷體" w:eastAsia="標楷體" w:hAnsi="標楷體" w:hint="eastAsia"/>
          <w:szCs w:val="24"/>
        </w:rPr>
        <w:t>然而，這樣的評量方式亦有其缺點。</w:t>
      </w:r>
      <w:proofErr w:type="gramStart"/>
      <w:r w:rsidR="00B10DBE">
        <w:rPr>
          <w:rFonts w:ascii="標楷體" w:eastAsia="標楷體" w:hAnsi="標楷體" w:hint="eastAsia"/>
          <w:szCs w:val="24"/>
        </w:rPr>
        <w:t>其一，</w:t>
      </w:r>
      <w:proofErr w:type="gramEnd"/>
      <w:r w:rsidR="00B10DBE">
        <w:rPr>
          <w:rFonts w:ascii="標楷體" w:eastAsia="標楷體" w:hAnsi="標楷體" w:hint="eastAsia"/>
          <w:szCs w:val="24"/>
        </w:rPr>
        <w:t>有些組別可能分工不明確，造成一人包辦了所有工作的情形。另外，評定的標準也較為</w:t>
      </w:r>
      <w:proofErr w:type="gramStart"/>
      <w:r w:rsidR="00B10DBE">
        <w:rPr>
          <w:rFonts w:ascii="標楷體" w:eastAsia="標楷體" w:hAnsi="標楷體" w:hint="eastAsia"/>
          <w:szCs w:val="24"/>
        </w:rPr>
        <w:t>主觀，</w:t>
      </w:r>
      <w:proofErr w:type="gramEnd"/>
      <w:r w:rsidR="00B10DBE">
        <w:rPr>
          <w:rFonts w:ascii="標楷體" w:eastAsia="標楷體" w:hAnsi="標楷體" w:hint="eastAsia"/>
          <w:szCs w:val="24"/>
        </w:rPr>
        <w:t>比較容易產生疑義。未來若要再施行此種評量方式，建議教師可以</w:t>
      </w:r>
      <w:r w:rsidR="004B15C9">
        <w:rPr>
          <w:rFonts w:ascii="標楷體" w:eastAsia="標楷體" w:hAnsi="標楷體" w:hint="eastAsia"/>
          <w:szCs w:val="24"/>
        </w:rPr>
        <w:t>確切列出工作分配表。除此之外，授課教師也可以</w:t>
      </w:r>
      <w:r w:rsidR="00B10DBE">
        <w:rPr>
          <w:rFonts w:ascii="標楷體" w:eastAsia="標楷體" w:hAnsi="標楷體" w:hint="eastAsia"/>
          <w:szCs w:val="24"/>
        </w:rPr>
        <w:t>加入</w:t>
      </w:r>
      <w:proofErr w:type="gramStart"/>
      <w:r w:rsidR="00B10DBE">
        <w:rPr>
          <w:rFonts w:ascii="標楷體" w:eastAsia="標楷體" w:hAnsi="標楷體" w:hint="eastAsia"/>
          <w:szCs w:val="24"/>
        </w:rPr>
        <w:t>同儕互評</w:t>
      </w:r>
      <w:proofErr w:type="gramEnd"/>
      <w:r w:rsidR="004B15C9">
        <w:rPr>
          <w:rFonts w:ascii="標楷體" w:eastAsia="標楷體" w:hAnsi="標楷體" w:hint="eastAsia"/>
          <w:szCs w:val="24"/>
        </w:rPr>
        <w:t>，減少教師主觀評判的因素。</w:t>
      </w:r>
    </w:p>
    <w:p w:rsidR="00296785" w:rsidRPr="009A13CF" w:rsidRDefault="00296785" w:rsidP="00A674CE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</w:p>
    <w:p w:rsidR="00A674CE" w:rsidRDefault="00A674CE" w:rsidP="00A674CE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A674CE" w:rsidRPr="00A674CE" w:rsidRDefault="00A674CE" w:rsidP="00A674CE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:rsidR="00A674CE" w:rsidRPr="00A674CE" w:rsidRDefault="00A674CE" w:rsidP="00A674CE">
      <w:pPr>
        <w:spacing w:line="360" w:lineRule="auto"/>
        <w:jc w:val="center"/>
        <w:rPr>
          <w:rFonts w:ascii="標楷體" w:eastAsia="標楷體" w:hAnsi="標楷體"/>
        </w:rPr>
      </w:pPr>
    </w:p>
    <w:sectPr w:rsidR="00A674CE" w:rsidRPr="00A674CE" w:rsidSect="00A674CE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DBE" w:rsidRDefault="00B10DBE" w:rsidP="00B10DBE">
      <w:r>
        <w:separator/>
      </w:r>
    </w:p>
  </w:endnote>
  <w:endnote w:type="continuationSeparator" w:id="1">
    <w:p w:rsidR="00B10DBE" w:rsidRDefault="00B10DBE" w:rsidP="00B10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DBE" w:rsidRDefault="00B10DBE" w:rsidP="00B10DBE">
      <w:r>
        <w:separator/>
      </w:r>
    </w:p>
  </w:footnote>
  <w:footnote w:type="continuationSeparator" w:id="1">
    <w:p w:rsidR="00B10DBE" w:rsidRDefault="00B10DBE" w:rsidP="00B10D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E11CE"/>
    <w:multiLevelType w:val="hybridMultilevel"/>
    <w:tmpl w:val="EC003EF2"/>
    <w:lvl w:ilvl="0" w:tplc="54F6E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6403D17"/>
    <w:multiLevelType w:val="hybridMultilevel"/>
    <w:tmpl w:val="BCA48460"/>
    <w:lvl w:ilvl="0" w:tplc="65807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80D3B02"/>
    <w:multiLevelType w:val="hybridMultilevel"/>
    <w:tmpl w:val="97CE5C9E"/>
    <w:lvl w:ilvl="0" w:tplc="F7727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4CE"/>
    <w:rsid w:val="001134AD"/>
    <w:rsid w:val="00296785"/>
    <w:rsid w:val="00316DEC"/>
    <w:rsid w:val="004B15C9"/>
    <w:rsid w:val="00580477"/>
    <w:rsid w:val="00672CA3"/>
    <w:rsid w:val="008339EA"/>
    <w:rsid w:val="009A13CF"/>
    <w:rsid w:val="00A674CE"/>
    <w:rsid w:val="00AF2494"/>
    <w:rsid w:val="00B10DBE"/>
    <w:rsid w:val="00BD6665"/>
    <w:rsid w:val="00CF23F1"/>
    <w:rsid w:val="00DB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3F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24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494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B76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B768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B10D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B10DBE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B10D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B10DB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E071A-956B-4BC4-9318-61B55E28B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tteagle</dc:creator>
  <cp:lastModifiedBy>tteagle</cp:lastModifiedBy>
  <cp:revision>2</cp:revision>
  <dcterms:created xsi:type="dcterms:W3CDTF">2015-05-20T02:54:00Z</dcterms:created>
  <dcterms:modified xsi:type="dcterms:W3CDTF">2015-05-20T02:54:00Z</dcterms:modified>
</cp:coreProperties>
</file>